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B1AE7" w14:textId="77777777" w:rsidR="00431352" w:rsidRDefault="00431352">
      <w:pPr>
        <w:widowControl/>
        <w:shd w:val="clear" w:color="auto" w:fill="FFFFFF"/>
        <w:ind w:firstLine="560"/>
        <w:jc w:val="left"/>
        <w:outlineLvl w:val="0"/>
        <w:rPr>
          <w:rFonts w:ascii="黑体" w:eastAsia="黑体" w:hAnsi="黑体" w:cs="宋体"/>
          <w:color w:val="333333"/>
          <w:kern w:val="36"/>
          <w:szCs w:val="32"/>
        </w:rPr>
      </w:pPr>
    </w:p>
    <w:p w14:paraId="16A3EC75" w14:textId="77777777" w:rsidR="00431352" w:rsidRDefault="00431352">
      <w:pPr>
        <w:ind w:firstLine="880"/>
        <w:jc w:val="center"/>
        <w:rPr>
          <w:rFonts w:eastAsiaTheme="minorEastAsia" w:cs="Times New Roman"/>
          <w:bCs/>
          <w:color w:val="000000"/>
          <w:kern w:val="0"/>
          <w:sz w:val="44"/>
          <w:szCs w:val="44"/>
        </w:rPr>
      </w:pPr>
    </w:p>
    <w:p w14:paraId="29B3047F" w14:textId="77777777" w:rsidR="00431352" w:rsidRDefault="00431352">
      <w:pPr>
        <w:ind w:firstLine="880"/>
        <w:jc w:val="center"/>
        <w:rPr>
          <w:rFonts w:eastAsiaTheme="minorEastAsia" w:cs="Times New Roman"/>
          <w:bCs/>
          <w:color w:val="000000"/>
          <w:kern w:val="0"/>
          <w:sz w:val="44"/>
          <w:szCs w:val="44"/>
        </w:rPr>
      </w:pPr>
    </w:p>
    <w:p w14:paraId="53C03442" w14:textId="77777777" w:rsidR="00431352" w:rsidRDefault="00431352">
      <w:pPr>
        <w:ind w:firstLine="880"/>
        <w:jc w:val="center"/>
        <w:rPr>
          <w:rFonts w:eastAsiaTheme="minorEastAsia" w:cs="Times New Roman"/>
          <w:bCs/>
          <w:color w:val="000000"/>
          <w:kern w:val="0"/>
          <w:sz w:val="44"/>
          <w:szCs w:val="44"/>
        </w:rPr>
      </w:pPr>
    </w:p>
    <w:p w14:paraId="0FA1A3B1" w14:textId="77777777" w:rsidR="00431352" w:rsidRDefault="00431352">
      <w:pPr>
        <w:ind w:firstLine="880"/>
        <w:jc w:val="center"/>
        <w:rPr>
          <w:rFonts w:eastAsiaTheme="minorEastAsia" w:cs="Times New Roman"/>
          <w:bCs/>
          <w:color w:val="000000"/>
          <w:kern w:val="0"/>
          <w:sz w:val="44"/>
          <w:szCs w:val="44"/>
        </w:rPr>
      </w:pPr>
    </w:p>
    <w:p w14:paraId="47117D5D" w14:textId="77777777" w:rsidR="00431352" w:rsidRDefault="00431352">
      <w:pPr>
        <w:ind w:firstLine="880"/>
        <w:jc w:val="center"/>
        <w:rPr>
          <w:rFonts w:eastAsiaTheme="minorEastAsia" w:cs="Times New Roman"/>
          <w:bCs/>
          <w:color w:val="000000"/>
          <w:kern w:val="0"/>
          <w:sz w:val="44"/>
          <w:szCs w:val="44"/>
        </w:rPr>
      </w:pPr>
    </w:p>
    <w:p w14:paraId="05033E3E" w14:textId="77777777" w:rsidR="00431352" w:rsidRDefault="00777C2A" w:rsidP="002266DD">
      <w:pPr>
        <w:ind w:firstLineChars="0" w:firstLine="0"/>
        <w:jc w:val="center"/>
        <w:rPr>
          <w:rFonts w:eastAsiaTheme="minorEastAsia" w:cs="Times New Roman"/>
          <w:b/>
          <w:bCs/>
          <w:color w:val="000000"/>
          <w:kern w:val="0"/>
          <w:sz w:val="48"/>
          <w:szCs w:val="48"/>
        </w:rPr>
      </w:pPr>
      <w:r>
        <w:rPr>
          <w:rFonts w:eastAsiaTheme="minorEastAsia" w:cs="Times New Roman"/>
          <w:b/>
          <w:bCs/>
          <w:color w:val="000000"/>
          <w:kern w:val="0"/>
          <w:sz w:val="48"/>
          <w:szCs w:val="48"/>
        </w:rPr>
        <w:t>固体矿产</w:t>
      </w:r>
      <w:r>
        <w:rPr>
          <w:rFonts w:eastAsiaTheme="minorEastAsia" w:cs="Times New Roman" w:hint="eastAsia"/>
          <w:b/>
          <w:bCs/>
          <w:color w:val="000000"/>
          <w:kern w:val="0"/>
          <w:sz w:val="48"/>
          <w:szCs w:val="48"/>
        </w:rPr>
        <w:t>地质</w:t>
      </w:r>
      <w:r>
        <w:rPr>
          <w:rFonts w:eastAsiaTheme="minorEastAsia" w:cs="Times New Roman"/>
          <w:b/>
          <w:bCs/>
          <w:color w:val="000000"/>
          <w:kern w:val="0"/>
          <w:sz w:val="48"/>
          <w:szCs w:val="48"/>
        </w:rPr>
        <w:t>勘查</w:t>
      </w:r>
      <w:r>
        <w:rPr>
          <w:rFonts w:eastAsiaTheme="minorEastAsia" w:cs="Times New Roman" w:hint="eastAsia"/>
          <w:b/>
          <w:bCs/>
          <w:color w:val="000000"/>
          <w:kern w:val="0"/>
          <w:sz w:val="48"/>
          <w:szCs w:val="48"/>
        </w:rPr>
        <w:t>项目</w:t>
      </w:r>
      <w:r>
        <w:rPr>
          <w:rFonts w:eastAsiaTheme="minorEastAsia" w:cs="Times New Roman"/>
          <w:b/>
          <w:bCs/>
          <w:color w:val="000000"/>
          <w:kern w:val="0"/>
          <w:sz w:val="48"/>
          <w:szCs w:val="48"/>
        </w:rPr>
        <w:t>野外验收</w:t>
      </w:r>
      <w:r>
        <w:rPr>
          <w:rFonts w:eastAsiaTheme="minorEastAsia" w:cs="Times New Roman" w:hint="eastAsia"/>
          <w:b/>
          <w:bCs/>
          <w:color w:val="000000"/>
          <w:kern w:val="0"/>
          <w:sz w:val="48"/>
          <w:szCs w:val="48"/>
        </w:rPr>
        <w:t>规程</w:t>
      </w:r>
    </w:p>
    <w:p w14:paraId="687781C0" w14:textId="77777777" w:rsidR="00431352" w:rsidRDefault="00777C2A" w:rsidP="00D30364">
      <w:pPr>
        <w:ind w:firstLineChars="0" w:firstLine="0"/>
        <w:jc w:val="center"/>
        <w:rPr>
          <w:rFonts w:eastAsiaTheme="minorEastAsia" w:cs="Times New Roman"/>
          <w:b/>
          <w:bCs/>
          <w:color w:val="000000"/>
          <w:kern w:val="0"/>
          <w:sz w:val="48"/>
          <w:szCs w:val="48"/>
        </w:rPr>
      </w:pPr>
      <w:r>
        <w:rPr>
          <w:rFonts w:eastAsiaTheme="minorEastAsia" w:cs="Times New Roman" w:hint="eastAsia"/>
          <w:b/>
          <w:bCs/>
          <w:color w:val="000000"/>
          <w:kern w:val="0"/>
          <w:sz w:val="48"/>
          <w:szCs w:val="48"/>
        </w:rPr>
        <w:t>编制说明</w:t>
      </w:r>
    </w:p>
    <w:p w14:paraId="4BB9898D" w14:textId="77777777" w:rsidR="00431352" w:rsidRDefault="00431352">
      <w:pPr>
        <w:ind w:firstLine="964"/>
        <w:jc w:val="center"/>
        <w:rPr>
          <w:rFonts w:eastAsiaTheme="minorEastAsia" w:cs="Times New Roman"/>
          <w:b/>
          <w:bCs/>
          <w:color w:val="000000"/>
          <w:kern w:val="0"/>
          <w:sz w:val="48"/>
          <w:szCs w:val="48"/>
        </w:rPr>
      </w:pPr>
    </w:p>
    <w:p w14:paraId="27DEC828" w14:textId="77777777" w:rsidR="00431352" w:rsidRDefault="00431352">
      <w:pPr>
        <w:ind w:firstLine="964"/>
        <w:jc w:val="center"/>
        <w:rPr>
          <w:rFonts w:eastAsiaTheme="minorEastAsia" w:cs="Times New Roman"/>
          <w:b/>
          <w:bCs/>
          <w:color w:val="000000"/>
          <w:kern w:val="0"/>
          <w:sz w:val="48"/>
          <w:szCs w:val="48"/>
        </w:rPr>
      </w:pPr>
    </w:p>
    <w:p w14:paraId="28B16985" w14:textId="77777777" w:rsidR="00431352" w:rsidRDefault="00431352">
      <w:pPr>
        <w:ind w:firstLine="964"/>
        <w:jc w:val="center"/>
        <w:rPr>
          <w:rFonts w:eastAsiaTheme="minorEastAsia" w:cs="Times New Roman"/>
          <w:b/>
          <w:bCs/>
          <w:color w:val="000000"/>
          <w:kern w:val="0"/>
          <w:sz w:val="48"/>
          <w:szCs w:val="48"/>
        </w:rPr>
      </w:pPr>
    </w:p>
    <w:p w14:paraId="3929D5A1" w14:textId="77777777" w:rsidR="00431352" w:rsidRDefault="00431352">
      <w:pPr>
        <w:ind w:firstLine="964"/>
        <w:jc w:val="center"/>
        <w:rPr>
          <w:rFonts w:eastAsiaTheme="minorEastAsia" w:cs="Times New Roman"/>
          <w:b/>
          <w:bCs/>
          <w:color w:val="000000"/>
          <w:kern w:val="0"/>
          <w:sz w:val="48"/>
          <w:szCs w:val="48"/>
        </w:rPr>
      </w:pPr>
    </w:p>
    <w:p w14:paraId="14F551D0" w14:textId="77777777" w:rsidR="00431352" w:rsidRDefault="00431352">
      <w:pPr>
        <w:ind w:firstLine="964"/>
        <w:jc w:val="center"/>
        <w:rPr>
          <w:rFonts w:eastAsiaTheme="minorEastAsia" w:cs="Times New Roman"/>
          <w:b/>
          <w:bCs/>
          <w:color w:val="000000"/>
          <w:kern w:val="0"/>
          <w:sz w:val="48"/>
          <w:szCs w:val="48"/>
        </w:rPr>
      </w:pPr>
    </w:p>
    <w:p w14:paraId="2250679D" w14:textId="77777777" w:rsidR="00431352" w:rsidRDefault="00431352">
      <w:pPr>
        <w:ind w:firstLine="964"/>
        <w:jc w:val="center"/>
        <w:rPr>
          <w:rFonts w:eastAsiaTheme="minorEastAsia" w:cs="Times New Roman"/>
          <w:b/>
          <w:bCs/>
          <w:color w:val="000000"/>
          <w:kern w:val="0"/>
          <w:sz w:val="48"/>
          <w:szCs w:val="48"/>
        </w:rPr>
      </w:pPr>
    </w:p>
    <w:p w14:paraId="01A3BDB8" w14:textId="77777777" w:rsidR="00431352" w:rsidRDefault="00431352">
      <w:pPr>
        <w:ind w:firstLine="964"/>
        <w:jc w:val="center"/>
        <w:rPr>
          <w:rFonts w:eastAsiaTheme="minorEastAsia" w:cs="Times New Roman"/>
          <w:b/>
          <w:bCs/>
          <w:color w:val="000000"/>
          <w:kern w:val="0"/>
          <w:sz w:val="48"/>
          <w:szCs w:val="48"/>
        </w:rPr>
      </w:pPr>
    </w:p>
    <w:p w14:paraId="01B1DA7E" w14:textId="77777777" w:rsidR="00431352" w:rsidRDefault="00431352">
      <w:pPr>
        <w:ind w:firstLine="964"/>
        <w:jc w:val="center"/>
        <w:rPr>
          <w:rFonts w:eastAsiaTheme="minorEastAsia" w:cs="Times New Roman"/>
          <w:b/>
          <w:bCs/>
          <w:color w:val="000000"/>
          <w:kern w:val="0"/>
          <w:sz w:val="48"/>
          <w:szCs w:val="48"/>
        </w:rPr>
      </w:pPr>
    </w:p>
    <w:p w14:paraId="1F17D26B" w14:textId="77777777" w:rsidR="00431352" w:rsidRDefault="00431352">
      <w:pPr>
        <w:ind w:firstLine="562"/>
        <w:jc w:val="center"/>
        <w:rPr>
          <w:rFonts w:eastAsiaTheme="minorEastAsia" w:cs="Times New Roman"/>
          <w:b/>
          <w:bCs/>
          <w:color w:val="000000"/>
          <w:kern w:val="0"/>
          <w:szCs w:val="28"/>
        </w:rPr>
      </w:pPr>
    </w:p>
    <w:p w14:paraId="6FF00C26" w14:textId="77777777" w:rsidR="00431352" w:rsidRDefault="00431352">
      <w:pPr>
        <w:ind w:firstLine="562"/>
        <w:jc w:val="center"/>
        <w:rPr>
          <w:rFonts w:eastAsiaTheme="minorEastAsia" w:cs="Times New Roman"/>
          <w:b/>
          <w:bCs/>
          <w:color w:val="000000"/>
          <w:kern w:val="0"/>
          <w:szCs w:val="28"/>
        </w:rPr>
      </w:pPr>
    </w:p>
    <w:p w14:paraId="670F04FA" w14:textId="77777777" w:rsidR="00431352" w:rsidRDefault="00431352">
      <w:pPr>
        <w:ind w:firstLine="562"/>
        <w:jc w:val="center"/>
        <w:rPr>
          <w:rFonts w:eastAsiaTheme="minorEastAsia" w:cs="Times New Roman"/>
          <w:b/>
          <w:bCs/>
          <w:color w:val="000000"/>
          <w:kern w:val="0"/>
          <w:szCs w:val="28"/>
        </w:rPr>
      </w:pPr>
    </w:p>
    <w:p w14:paraId="463ED418" w14:textId="77777777" w:rsidR="00431352" w:rsidRDefault="00431352">
      <w:pPr>
        <w:ind w:firstLine="562"/>
        <w:jc w:val="center"/>
        <w:rPr>
          <w:rFonts w:eastAsiaTheme="minorEastAsia" w:cs="Times New Roman"/>
          <w:b/>
          <w:bCs/>
          <w:color w:val="000000"/>
          <w:kern w:val="0"/>
          <w:szCs w:val="28"/>
        </w:rPr>
      </w:pPr>
    </w:p>
    <w:p w14:paraId="735B7E6C" w14:textId="77777777" w:rsidR="00431352" w:rsidRDefault="00777C2A">
      <w:pPr>
        <w:ind w:firstLine="562"/>
        <w:jc w:val="center"/>
        <w:rPr>
          <w:rFonts w:eastAsiaTheme="minorEastAsia" w:cs="Times New Roman"/>
          <w:b/>
          <w:bCs/>
          <w:color w:val="000000"/>
          <w:kern w:val="0"/>
          <w:szCs w:val="28"/>
        </w:rPr>
        <w:sectPr w:rsidR="0043135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Pr>
          <w:rFonts w:eastAsiaTheme="minorEastAsia" w:cs="Times New Roman" w:hint="eastAsia"/>
          <w:b/>
          <w:bCs/>
          <w:color w:val="000000"/>
          <w:kern w:val="0"/>
          <w:szCs w:val="28"/>
        </w:rPr>
        <w:t>二零二六年五月</w:t>
      </w:r>
    </w:p>
    <w:p w14:paraId="180DF00B" w14:textId="77777777" w:rsidR="00431352" w:rsidRDefault="00777C2A">
      <w:pPr>
        <w:pStyle w:val="TOC1"/>
        <w:jc w:val="center"/>
        <w:rPr>
          <w:rFonts w:ascii="仿宋_GB2312" w:eastAsia="仿宋_GB2312" w:hAnsiTheme="minorEastAsia" w:cs="Times New Roman"/>
          <w:b/>
          <w:bCs/>
          <w:color w:val="000000"/>
          <w:sz w:val="36"/>
          <w:szCs w:val="36"/>
        </w:rPr>
      </w:pPr>
      <w:r>
        <w:rPr>
          <w:rFonts w:ascii="仿宋_GB2312" w:eastAsia="仿宋_GB2312" w:hAnsiTheme="minorEastAsia" w:cs="Times New Roman" w:hint="eastAsia"/>
          <w:b/>
          <w:bCs/>
          <w:color w:val="000000"/>
          <w:sz w:val="36"/>
          <w:szCs w:val="36"/>
        </w:rPr>
        <w:lastRenderedPageBreak/>
        <w:t>目    录</w:t>
      </w:r>
    </w:p>
    <w:sdt>
      <w:sdtPr>
        <w:rPr>
          <w:lang w:val="zh-CN"/>
        </w:rPr>
        <w:id w:val="-189066201"/>
        <w:docPartObj>
          <w:docPartGallery w:val="Table of Contents"/>
          <w:docPartUnique/>
        </w:docPartObj>
      </w:sdtPr>
      <w:sdtEndPr>
        <w:rPr>
          <w:b/>
          <w:bCs/>
        </w:rPr>
      </w:sdtEndPr>
      <w:sdtContent>
        <w:p w14:paraId="69BEA4BE" w14:textId="77777777" w:rsidR="00431352" w:rsidRDefault="00777C2A" w:rsidP="0071283F">
          <w:pPr>
            <w:pStyle w:val="21"/>
            <w:ind w:leftChars="0" w:left="0" w:firstLineChars="0" w:firstLine="0"/>
            <w:rPr>
              <w:rFonts w:asciiTheme="minorHAnsi" w:eastAsiaTheme="minorEastAsia" w:hAnsiTheme="minorHAnsi"/>
              <w:sz w:val="21"/>
            </w:rPr>
          </w:pPr>
          <w:r>
            <w:fldChar w:fldCharType="begin"/>
          </w:r>
          <w:r>
            <w:instrText xml:space="preserve"> TOC \o "1-3" \h \z \u </w:instrText>
          </w:r>
          <w:r>
            <w:fldChar w:fldCharType="separate"/>
          </w:r>
          <w:hyperlink w:anchor="_Toc231303950" w:history="1">
            <w:r>
              <w:rPr>
                <w:rStyle w:val="af9"/>
              </w:rPr>
              <w:t>一、编制的目的和意义</w:t>
            </w:r>
            <w:r>
              <w:tab/>
            </w:r>
            <w:r>
              <w:fldChar w:fldCharType="begin"/>
            </w:r>
            <w:r>
              <w:instrText xml:space="preserve"> PAGEREF _Toc231303950 \h </w:instrText>
            </w:r>
            <w:r>
              <w:fldChar w:fldCharType="separate"/>
            </w:r>
            <w:r>
              <w:t>1</w:t>
            </w:r>
            <w:r>
              <w:fldChar w:fldCharType="end"/>
            </w:r>
          </w:hyperlink>
        </w:p>
        <w:p w14:paraId="51C3098E" w14:textId="77777777" w:rsidR="00431352" w:rsidRDefault="003E42E0" w:rsidP="0071283F">
          <w:pPr>
            <w:pStyle w:val="21"/>
            <w:ind w:leftChars="0" w:left="0" w:firstLineChars="0" w:firstLine="0"/>
            <w:rPr>
              <w:rFonts w:asciiTheme="minorHAnsi" w:eastAsiaTheme="minorEastAsia" w:hAnsiTheme="minorHAnsi"/>
              <w:sz w:val="21"/>
            </w:rPr>
          </w:pPr>
          <w:hyperlink w:anchor="_Toc231303951" w:history="1">
            <w:r w:rsidR="00777C2A">
              <w:rPr>
                <w:rStyle w:val="af9"/>
              </w:rPr>
              <w:t>二、任务来源和编制原则</w:t>
            </w:r>
            <w:r w:rsidR="00777C2A">
              <w:tab/>
            </w:r>
            <w:r w:rsidR="00777C2A">
              <w:fldChar w:fldCharType="begin"/>
            </w:r>
            <w:r w:rsidR="00777C2A">
              <w:instrText xml:space="preserve"> PAGEREF _Toc231303951 \h </w:instrText>
            </w:r>
            <w:r w:rsidR="00777C2A">
              <w:fldChar w:fldCharType="separate"/>
            </w:r>
            <w:r w:rsidR="00777C2A">
              <w:t>2</w:t>
            </w:r>
            <w:r w:rsidR="00777C2A">
              <w:fldChar w:fldCharType="end"/>
            </w:r>
          </w:hyperlink>
        </w:p>
        <w:p w14:paraId="42526214"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52" w:history="1">
            <w:r w:rsidR="00777C2A">
              <w:rPr>
                <w:rStyle w:val="af9"/>
              </w:rPr>
              <w:t>（一）任务来源</w:t>
            </w:r>
            <w:r w:rsidR="00777C2A">
              <w:tab/>
            </w:r>
            <w:r w:rsidR="00777C2A">
              <w:fldChar w:fldCharType="begin"/>
            </w:r>
            <w:r w:rsidR="00777C2A">
              <w:instrText xml:space="preserve"> PAGEREF _Toc231303952 \h </w:instrText>
            </w:r>
            <w:r w:rsidR="00777C2A">
              <w:fldChar w:fldCharType="separate"/>
            </w:r>
            <w:r w:rsidR="00777C2A">
              <w:t>2</w:t>
            </w:r>
            <w:r w:rsidR="00777C2A">
              <w:fldChar w:fldCharType="end"/>
            </w:r>
          </w:hyperlink>
        </w:p>
        <w:p w14:paraId="6D897CC5"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53" w:history="1">
            <w:r w:rsidR="00777C2A">
              <w:rPr>
                <w:rStyle w:val="af9"/>
              </w:rPr>
              <w:t>（二）编制原则和依据</w:t>
            </w:r>
            <w:r w:rsidR="00777C2A">
              <w:tab/>
            </w:r>
            <w:r w:rsidR="00777C2A">
              <w:fldChar w:fldCharType="begin"/>
            </w:r>
            <w:r w:rsidR="00777C2A">
              <w:instrText xml:space="preserve"> PAGEREF _Toc231303953 \h </w:instrText>
            </w:r>
            <w:r w:rsidR="00777C2A">
              <w:fldChar w:fldCharType="separate"/>
            </w:r>
            <w:r w:rsidR="00777C2A">
              <w:t>2</w:t>
            </w:r>
            <w:r w:rsidR="00777C2A">
              <w:fldChar w:fldCharType="end"/>
            </w:r>
          </w:hyperlink>
        </w:p>
        <w:p w14:paraId="4E8473CC" w14:textId="77777777" w:rsidR="00431352" w:rsidRDefault="003E42E0" w:rsidP="0071283F">
          <w:pPr>
            <w:pStyle w:val="21"/>
            <w:ind w:leftChars="0" w:left="0" w:firstLineChars="0" w:firstLine="0"/>
            <w:rPr>
              <w:rFonts w:asciiTheme="minorHAnsi" w:eastAsiaTheme="minorEastAsia" w:hAnsiTheme="minorHAnsi"/>
              <w:sz w:val="21"/>
            </w:rPr>
          </w:pPr>
          <w:hyperlink w:anchor="_Toc231303954" w:history="1">
            <w:r w:rsidR="00777C2A">
              <w:rPr>
                <w:rStyle w:val="af9"/>
              </w:rPr>
              <w:t>三、编写过程</w:t>
            </w:r>
            <w:r w:rsidR="00777C2A">
              <w:tab/>
            </w:r>
            <w:r w:rsidR="00777C2A">
              <w:fldChar w:fldCharType="begin"/>
            </w:r>
            <w:r w:rsidR="00777C2A">
              <w:instrText xml:space="preserve"> PAGEREF _Toc231303954 \h </w:instrText>
            </w:r>
            <w:r w:rsidR="00777C2A">
              <w:fldChar w:fldCharType="separate"/>
            </w:r>
            <w:r w:rsidR="00777C2A">
              <w:t>4</w:t>
            </w:r>
            <w:r w:rsidR="00777C2A">
              <w:fldChar w:fldCharType="end"/>
            </w:r>
          </w:hyperlink>
        </w:p>
        <w:p w14:paraId="4A5B380B"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55" w:history="1">
            <w:r w:rsidR="00777C2A">
              <w:rPr>
                <w:rStyle w:val="af9"/>
              </w:rPr>
              <w:t>（一）成立标准编制组</w:t>
            </w:r>
            <w:r w:rsidR="00777C2A">
              <w:tab/>
            </w:r>
            <w:r w:rsidR="00777C2A">
              <w:fldChar w:fldCharType="begin"/>
            </w:r>
            <w:r w:rsidR="00777C2A">
              <w:instrText xml:space="preserve"> PAGEREF _Toc231303955 \h </w:instrText>
            </w:r>
            <w:r w:rsidR="00777C2A">
              <w:fldChar w:fldCharType="separate"/>
            </w:r>
            <w:r w:rsidR="00777C2A">
              <w:t>4</w:t>
            </w:r>
            <w:r w:rsidR="00777C2A">
              <w:fldChar w:fldCharType="end"/>
            </w:r>
          </w:hyperlink>
        </w:p>
        <w:p w14:paraId="2881DD28"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56" w:history="1">
            <w:r w:rsidR="00777C2A">
              <w:rPr>
                <w:rStyle w:val="af9"/>
              </w:rPr>
              <w:t>（二）资料收集、调查研究分析</w:t>
            </w:r>
            <w:r w:rsidR="00777C2A">
              <w:tab/>
            </w:r>
            <w:r w:rsidR="00777C2A">
              <w:fldChar w:fldCharType="begin"/>
            </w:r>
            <w:r w:rsidR="00777C2A">
              <w:instrText xml:space="preserve"> PAGEREF _Toc231303956 \h </w:instrText>
            </w:r>
            <w:r w:rsidR="00777C2A">
              <w:fldChar w:fldCharType="separate"/>
            </w:r>
            <w:r w:rsidR="00777C2A">
              <w:t>5</w:t>
            </w:r>
            <w:r w:rsidR="00777C2A">
              <w:fldChar w:fldCharType="end"/>
            </w:r>
          </w:hyperlink>
        </w:p>
        <w:p w14:paraId="190E153C"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57" w:history="1">
            <w:r w:rsidR="00777C2A">
              <w:rPr>
                <w:rStyle w:val="af9"/>
              </w:rPr>
              <w:t>（三）编写草稿</w:t>
            </w:r>
            <w:r w:rsidR="00777C2A">
              <w:tab/>
            </w:r>
            <w:r w:rsidR="00777C2A">
              <w:fldChar w:fldCharType="begin"/>
            </w:r>
            <w:r w:rsidR="00777C2A">
              <w:instrText xml:space="preserve"> PAGEREF _Toc231303957 \h </w:instrText>
            </w:r>
            <w:r w:rsidR="00777C2A">
              <w:fldChar w:fldCharType="separate"/>
            </w:r>
            <w:r w:rsidR="00777C2A">
              <w:t>5</w:t>
            </w:r>
            <w:r w:rsidR="00777C2A">
              <w:fldChar w:fldCharType="end"/>
            </w:r>
          </w:hyperlink>
        </w:p>
        <w:p w14:paraId="4C516022"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58" w:history="1">
            <w:r w:rsidR="00777C2A">
              <w:rPr>
                <w:rStyle w:val="af9"/>
              </w:rPr>
              <w:t>（四）立项评估</w:t>
            </w:r>
            <w:r w:rsidR="00777C2A">
              <w:tab/>
            </w:r>
            <w:r w:rsidR="00777C2A">
              <w:fldChar w:fldCharType="begin"/>
            </w:r>
            <w:r w:rsidR="00777C2A">
              <w:instrText xml:space="preserve"> PAGEREF _Toc231303958 \h </w:instrText>
            </w:r>
            <w:r w:rsidR="00777C2A">
              <w:fldChar w:fldCharType="separate"/>
            </w:r>
            <w:r w:rsidR="00777C2A">
              <w:t>5</w:t>
            </w:r>
            <w:r w:rsidR="00777C2A">
              <w:fldChar w:fldCharType="end"/>
            </w:r>
          </w:hyperlink>
        </w:p>
        <w:p w14:paraId="68E1E12D"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59" w:history="1">
            <w:r w:rsidR="00777C2A">
              <w:rPr>
                <w:rStyle w:val="af9"/>
              </w:rPr>
              <w:t>（五）征求意见稿</w:t>
            </w:r>
            <w:r w:rsidR="00777C2A">
              <w:tab/>
            </w:r>
            <w:r w:rsidR="00777C2A">
              <w:fldChar w:fldCharType="begin"/>
            </w:r>
            <w:r w:rsidR="00777C2A">
              <w:instrText xml:space="preserve"> PAGEREF _Toc231303959 \h </w:instrText>
            </w:r>
            <w:r w:rsidR="00777C2A">
              <w:fldChar w:fldCharType="separate"/>
            </w:r>
            <w:r w:rsidR="00777C2A">
              <w:t>6</w:t>
            </w:r>
            <w:r w:rsidR="00777C2A">
              <w:fldChar w:fldCharType="end"/>
            </w:r>
          </w:hyperlink>
        </w:p>
        <w:p w14:paraId="3C88599C"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60" w:history="1">
            <w:r w:rsidR="00777C2A">
              <w:rPr>
                <w:rStyle w:val="af9"/>
              </w:rPr>
              <w:t>（六）送审稿</w:t>
            </w:r>
            <w:r w:rsidR="00777C2A">
              <w:tab/>
            </w:r>
            <w:r w:rsidR="00777C2A">
              <w:fldChar w:fldCharType="begin"/>
            </w:r>
            <w:r w:rsidR="00777C2A">
              <w:instrText xml:space="preserve"> PAGEREF _Toc231303960 \h </w:instrText>
            </w:r>
            <w:r w:rsidR="00777C2A">
              <w:fldChar w:fldCharType="separate"/>
            </w:r>
            <w:r w:rsidR="00777C2A">
              <w:t>6</w:t>
            </w:r>
            <w:r w:rsidR="00777C2A">
              <w:fldChar w:fldCharType="end"/>
            </w:r>
          </w:hyperlink>
        </w:p>
        <w:p w14:paraId="55E27C7A" w14:textId="77777777" w:rsidR="00431352" w:rsidRDefault="003E42E0" w:rsidP="0071283F">
          <w:pPr>
            <w:pStyle w:val="31"/>
            <w:tabs>
              <w:tab w:val="right" w:leader="dot" w:pos="8296"/>
            </w:tabs>
            <w:ind w:leftChars="0" w:left="0" w:firstLineChars="0" w:firstLine="0"/>
            <w:rPr>
              <w:rFonts w:asciiTheme="minorHAnsi" w:eastAsiaTheme="minorEastAsia" w:hAnsiTheme="minorHAnsi"/>
              <w:sz w:val="21"/>
            </w:rPr>
          </w:pPr>
          <w:hyperlink w:anchor="_Toc231303961" w:history="1">
            <w:r w:rsidR="00777C2A">
              <w:rPr>
                <w:rStyle w:val="af9"/>
              </w:rPr>
              <w:t>（七）报批稿</w:t>
            </w:r>
            <w:r w:rsidR="00777C2A">
              <w:tab/>
            </w:r>
            <w:r w:rsidR="00777C2A">
              <w:fldChar w:fldCharType="begin"/>
            </w:r>
            <w:r w:rsidR="00777C2A">
              <w:instrText xml:space="preserve"> PAGEREF _Toc231303961 \h </w:instrText>
            </w:r>
            <w:r w:rsidR="00777C2A">
              <w:fldChar w:fldCharType="separate"/>
            </w:r>
            <w:r w:rsidR="00777C2A">
              <w:t>6</w:t>
            </w:r>
            <w:r w:rsidR="00777C2A">
              <w:fldChar w:fldCharType="end"/>
            </w:r>
          </w:hyperlink>
        </w:p>
        <w:p w14:paraId="6CCE471C" w14:textId="77777777" w:rsidR="00431352" w:rsidRDefault="003E42E0" w:rsidP="0071283F">
          <w:pPr>
            <w:pStyle w:val="21"/>
            <w:ind w:leftChars="0" w:left="0" w:firstLineChars="0" w:firstLine="0"/>
            <w:rPr>
              <w:rFonts w:asciiTheme="minorHAnsi" w:eastAsiaTheme="minorEastAsia" w:hAnsiTheme="minorHAnsi"/>
              <w:sz w:val="21"/>
            </w:rPr>
          </w:pPr>
          <w:hyperlink w:anchor="_Toc231303962" w:history="1">
            <w:r w:rsidR="00777C2A">
              <w:rPr>
                <w:rStyle w:val="af9"/>
              </w:rPr>
              <w:t>四、主要内容的确定</w:t>
            </w:r>
            <w:r w:rsidR="00777C2A">
              <w:tab/>
            </w:r>
            <w:r w:rsidR="00777C2A">
              <w:fldChar w:fldCharType="begin"/>
            </w:r>
            <w:r w:rsidR="00777C2A">
              <w:instrText xml:space="preserve"> PAGEREF _Toc231303962 \h </w:instrText>
            </w:r>
            <w:r w:rsidR="00777C2A">
              <w:fldChar w:fldCharType="separate"/>
            </w:r>
            <w:r w:rsidR="00777C2A">
              <w:t>7</w:t>
            </w:r>
            <w:r w:rsidR="00777C2A">
              <w:fldChar w:fldCharType="end"/>
            </w:r>
          </w:hyperlink>
        </w:p>
        <w:p w14:paraId="408AE180" w14:textId="77777777" w:rsidR="00431352" w:rsidRDefault="003E42E0" w:rsidP="0071283F">
          <w:pPr>
            <w:pStyle w:val="21"/>
            <w:ind w:leftChars="0" w:left="0" w:firstLineChars="0" w:firstLine="0"/>
            <w:rPr>
              <w:rFonts w:asciiTheme="minorHAnsi" w:eastAsiaTheme="minorEastAsia" w:hAnsiTheme="minorHAnsi"/>
              <w:sz w:val="21"/>
            </w:rPr>
          </w:pPr>
          <w:hyperlink w:anchor="_Toc231303963" w:history="1">
            <w:r w:rsidR="00777C2A">
              <w:rPr>
                <w:rStyle w:val="af9"/>
              </w:rPr>
              <w:t>五、采标情况</w:t>
            </w:r>
            <w:r w:rsidR="00777C2A">
              <w:tab/>
            </w:r>
            <w:r w:rsidR="00777C2A">
              <w:fldChar w:fldCharType="begin"/>
            </w:r>
            <w:r w:rsidR="00777C2A">
              <w:instrText xml:space="preserve"> PAGEREF _Toc231303963 \h </w:instrText>
            </w:r>
            <w:r w:rsidR="00777C2A">
              <w:fldChar w:fldCharType="separate"/>
            </w:r>
            <w:r w:rsidR="00777C2A">
              <w:t>9</w:t>
            </w:r>
            <w:r w:rsidR="00777C2A">
              <w:fldChar w:fldCharType="end"/>
            </w:r>
          </w:hyperlink>
        </w:p>
        <w:p w14:paraId="2AF9CDBC" w14:textId="77777777" w:rsidR="00431352" w:rsidRDefault="003E42E0" w:rsidP="0071283F">
          <w:pPr>
            <w:pStyle w:val="21"/>
            <w:ind w:leftChars="0" w:left="0" w:firstLineChars="0" w:firstLine="0"/>
            <w:rPr>
              <w:rFonts w:asciiTheme="minorHAnsi" w:eastAsiaTheme="minorEastAsia" w:hAnsiTheme="minorHAnsi"/>
              <w:sz w:val="21"/>
            </w:rPr>
          </w:pPr>
          <w:hyperlink w:anchor="_Toc231303964" w:history="1">
            <w:r w:rsidR="00777C2A">
              <w:rPr>
                <w:rStyle w:val="af9"/>
              </w:rPr>
              <w:t>六、重大意见分歧的处理</w:t>
            </w:r>
            <w:r w:rsidR="00777C2A">
              <w:tab/>
            </w:r>
            <w:r w:rsidR="00777C2A">
              <w:fldChar w:fldCharType="begin"/>
            </w:r>
            <w:r w:rsidR="00777C2A">
              <w:instrText xml:space="preserve"> PAGEREF _Toc231303964 \h </w:instrText>
            </w:r>
            <w:r w:rsidR="00777C2A">
              <w:fldChar w:fldCharType="separate"/>
            </w:r>
            <w:r w:rsidR="00777C2A">
              <w:t>9</w:t>
            </w:r>
            <w:r w:rsidR="00777C2A">
              <w:fldChar w:fldCharType="end"/>
            </w:r>
          </w:hyperlink>
        </w:p>
        <w:p w14:paraId="4C565DCB" w14:textId="77777777" w:rsidR="00431352" w:rsidRDefault="003E42E0" w:rsidP="0071283F">
          <w:pPr>
            <w:pStyle w:val="21"/>
            <w:ind w:leftChars="0" w:left="0" w:firstLineChars="0" w:firstLine="0"/>
            <w:rPr>
              <w:rFonts w:asciiTheme="minorHAnsi" w:eastAsiaTheme="minorEastAsia" w:hAnsiTheme="minorHAnsi"/>
              <w:sz w:val="21"/>
            </w:rPr>
          </w:pPr>
          <w:hyperlink w:anchor="_Toc231303965" w:history="1">
            <w:r w:rsidR="00777C2A">
              <w:rPr>
                <w:rStyle w:val="af9"/>
              </w:rPr>
              <w:t>七、与国家法律法规和强制性标准的关系</w:t>
            </w:r>
            <w:r w:rsidR="00777C2A">
              <w:tab/>
            </w:r>
            <w:r w:rsidR="00777C2A">
              <w:fldChar w:fldCharType="begin"/>
            </w:r>
            <w:r w:rsidR="00777C2A">
              <w:instrText xml:space="preserve"> PAGEREF _Toc231303965 \h </w:instrText>
            </w:r>
            <w:r w:rsidR="00777C2A">
              <w:fldChar w:fldCharType="separate"/>
            </w:r>
            <w:r w:rsidR="00777C2A">
              <w:t>9</w:t>
            </w:r>
            <w:r w:rsidR="00777C2A">
              <w:fldChar w:fldCharType="end"/>
            </w:r>
          </w:hyperlink>
        </w:p>
        <w:p w14:paraId="28590CF0" w14:textId="77777777" w:rsidR="00431352" w:rsidRDefault="003E42E0" w:rsidP="0071283F">
          <w:pPr>
            <w:pStyle w:val="21"/>
            <w:ind w:leftChars="0" w:left="0" w:firstLineChars="0" w:firstLine="0"/>
            <w:rPr>
              <w:rFonts w:asciiTheme="minorHAnsi" w:eastAsiaTheme="minorEastAsia" w:hAnsiTheme="minorHAnsi"/>
              <w:sz w:val="21"/>
            </w:rPr>
          </w:pPr>
          <w:hyperlink w:anchor="_Toc231303966" w:history="1">
            <w:r w:rsidR="00777C2A">
              <w:rPr>
                <w:rStyle w:val="af9"/>
              </w:rPr>
              <w:t>八、标准实施的建议</w:t>
            </w:r>
            <w:r w:rsidR="00777C2A">
              <w:tab/>
            </w:r>
            <w:r w:rsidR="00777C2A">
              <w:fldChar w:fldCharType="begin"/>
            </w:r>
            <w:r w:rsidR="00777C2A">
              <w:instrText xml:space="preserve"> PAGEREF _Toc231303966 \h </w:instrText>
            </w:r>
            <w:r w:rsidR="00777C2A">
              <w:fldChar w:fldCharType="separate"/>
            </w:r>
            <w:r w:rsidR="00777C2A">
              <w:t>9</w:t>
            </w:r>
            <w:r w:rsidR="00777C2A">
              <w:fldChar w:fldCharType="end"/>
            </w:r>
          </w:hyperlink>
        </w:p>
        <w:p w14:paraId="7B522502" w14:textId="77777777" w:rsidR="00431352" w:rsidRDefault="003E42E0" w:rsidP="0071283F">
          <w:pPr>
            <w:pStyle w:val="21"/>
            <w:ind w:leftChars="0" w:left="0" w:firstLineChars="0" w:firstLine="0"/>
            <w:rPr>
              <w:rFonts w:asciiTheme="minorHAnsi" w:eastAsiaTheme="minorEastAsia" w:hAnsiTheme="minorHAnsi"/>
              <w:sz w:val="21"/>
            </w:rPr>
          </w:pPr>
          <w:hyperlink w:anchor="_Toc231303967" w:history="1">
            <w:r w:rsidR="00777C2A">
              <w:rPr>
                <w:rStyle w:val="af9"/>
              </w:rPr>
              <w:t>九、其他应予说明的事项</w:t>
            </w:r>
            <w:r w:rsidR="00777C2A">
              <w:tab/>
            </w:r>
            <w:r w:rsidR="00777C2A">
              <w:fldChar w:fldCharType="begin"/>
            </w:r>
            <w:r w:rsidR="00777C2A">
              <w:instrText xml:space="preserve"> PAGEREF _Toc231303967 \h </w:instrText>
            </w:r>
            <w:r w:rsidR="00777C2A">
              <w:fldChar w:fldCharType="separate"/>
            </w:r>
            <w:r w:rsidR="00777C2A">
              <w:t>10</w:t>
            </w:r>
            <w:r w:rsidR="00777C2A">
              <w:fldChar w:fldCharType="end"/>
            </w:r>
          </w:hyperlink>
        </w:p>
        <w:p w14:paraId="1962A50E" w14:textId="77777777" w:rsidR="00431352" w:rsidRDefault="00777C2A" w:rsidP="0071283F">
          <w:pPr>
            <w:ind w:firstLineChars="0" w:firstLine="0"/>
          </w:pPr>
          <w:r>
            <w:rPr>
              <w:b/>
              <w:bCs/>
              <w:lang w:val="zh-CN"/>
            </w:rPr>
            <w:fldChar w:fldCharType="end"/>
          </w:r>
        </w:p>
      </w:sdtContent>
    </w:sdt>
    <w:p w14:paraId="7862D024" w14:textId="77777777" w:rsidR="00431352" w:rsidRDefault="00431352">
      <w:pPr>
        <w:ind w:firstLine="562"/>
        <w:jc w:val="center"/>
        <w:rPr>
          <w:rFonts w:eastAsiaTheme="minorEastAsia" w:cs="Times New Roman"/>
          <w:b/>
          <w:bCs/>
          <w:color w:val="000000"/>
          <w:kern w:val="0"/>
          <w:szCs w:val="28"/>
        </w:rPr>
      </w:pPr>
    </w:p>
    <w:p w14:paraId="01D7EEEA" w14:textId="77777777" w:rsidR="00431352" w:rsidRDefault="00431352">
      <w:pPr>
        <w:ind w:firstLine="562"/>
        <w:jc w:val="center"/>
        <w:rPr>
          <w:rFonts w:eastAsiaTheme="minorEastAsia" w:cs="Times New Roman"/>
          <w:b/>
          <w:bCs/>
          <w:color w:val="000000"/>
          <w:kern w:val="0"/>
          <w:szCs w:val="28"/>
        </w:rPr>
        <w:sectPr w:rsidR="00431352">
          <w:footerReference w:type="default" r:id="rId15"/>
          <w:pgSz w:w="11906" w:h="16838"/>
          <w:pgMar w:top="1440" w:right="1800" w:bottom="1440" w:left="1800" w:header="851" w:footer="992" w:gutter="0"/>
          <w:pgNumType w:fmt="upperRoman" w:start="1"/>
          <w:cols w:space="425"/>
          <w:docGrid w:type="lines" w:linePitch="312"/>
        </w:sectPr>
      </w:pPr>
    </w:p>
    <w:p w14:paraId="53F547F8" w14:textId="77777777" w:rsidR="00431352" w:rsidRDefault="00777C2A">
      <w:pPr>
        <w:pStyle w:val="2"/>
        <w:ind w:firstLineChars="0"/>
      </w:pPr>
      <w:bookmarkStart w:id="0" w:name="_Toc231303950"/>
      <w:r>
        <w:rPr>
          <w:rFonts w:hint="eastAsia"/>
        </w:rPr>
        <w:lastRenderedPageBreak/>
        <w:t>一、编制的目的和意义</w:t>
      </w:r>
      <w:bookmarkEnd w:id="0"/>
    </w:p>
    <w:p w14:paraId="03D6E172" w14:textId="77777777" w:rsidR="00431352" w:rsidRDefault="00777C2A">
      <w:pPr>
        <w:ind w:firstLine="560"/>
        <w:rPr>
          <w:shd w:val="clear" w:color="auto" w:fill="FFFFFF"/>
        </w:rPr>
      </w:pPr>
      <w:r>
        <w:rPr>
          <w:rFonts w:hint="eastAsia"/>
          <w:shd w:val="clear" w:color="auto" w:fill="FFFFFF"/>
        </w:rPr>
        <w:t>固体矿产地质勘查系自然资源调查评价的核心基础性工作，是以地质理论为支撑、多专业技术融合的系统性工程。其核心任务在于通过标准化技术作业，包括全方位、精细化的野外地质调查、工程布设与勘探、样品采集测试及综合分析研判等，查明区域内固体矿产的赋存位置、资源储量、品质特征、开采技术条件及分布规律，为矿产资源规划、开发利用、保护管理及矿业权市场化配置提供核心地质依据。固体矿产资源受区域地质构造、成矿条件差异影响，其赋存状态、空间分布及矿体特征均具有显著的地域性、复杂性与不确定性，矿产地质勘查工作的主要作业场景集中于野外一线。野外勘查的实物工作量、所获取的原始数据及现场工作质量，直接决定了勘查成果的真实性、可靠性与科学性，亦是判定地质勘查报告合规性及实用性的核心指标。为从严管控勘查质量，项目业主在组织勘查项目验收时，对涉及野外实物工作量的项目实施首检制度，即项目须通过野外工作质量专项验收后，方可进入室内成果汇总、报告编制及最终成果验收环节。</w:t>
      </w:r>
    </w:p>
    <w:p w14:paraId="65938F8E" w14:textId="77777777" w:rsidR="00431352" w:rsidRDefault="00777C2A">
      <w:pPr>
        <w:ind w:firstLine="560"/>
        <w:rPr>
          <w:shd w:val="clear" w:color="auto" w:fill="FFFFFF"/>
        </w:rPr>
      </w:pPr>
      <w:r>
        <w:rPr>
          <w:rFonts w:hint="eastAsia"/>
          <w:shd w:val="clear" w:color="auto" w:fill="FFFFFF"/>
        </w:rPr>
        <w:t>当前，由财政出资的固体矿产地质勘查项目，其野外验收工作由主管部门组织，依据当地自然资源部门印发的指导性文件开展，验收较为规范。由矿业权人自主出资的固体矿产地质勘查项目，则由矿业权人自行组织野外验收，由于缺乏统一的规范要求，部分项目在野外验收中仍采用临时制定的检查表格，存在评价维度不统一、质量控制节点不明确等问题。为此，为完善固体矿产勘查领域的技术标准体系，推动野外验收工作的制度化、规范化和标准化，保障勘查成果质量，</w:t>
      </w:r>
      <w:r>
        <w:rPr>
          <w:rFonts w:hint="eastAsia"/>
          <w:shd w:val="clear" w:color="auto" w:fill="FFFFFF"/>
        </w:rPr>
        <w:lastRenderedPageBreak/>
        <w:t>提升行业监管效能，特制定《固体矿产地质勘查项目野外验收规程》（以下简称“本标准”）。本标准旨在统一野外验收的基本要求、验收资料、验收准备、验收程序等内容，明确各方职责与质量要求，为野外验收提供清晰、可操作的技术依据，从而切实提升固体矿产地质勘查工作的整体水平与管理效能。</w:t>
      </w:r>
    </w:p>
    <w:p w14:paraId="68F71CD1" w14:textId="77777777" w:rsidR="00431352" w:rsidRDefault="00777C2A">
      <w:pPr>
        <w:pStyle w:val="2"/>
        <w:ind w:firstLineChars="0"/>
      </w:pPr>
      <w:bookmarkStart w:id="1" w:name="_Toc231303951"/>
      <w:r>
        <w:rPr>
          <w:rFonts w:hint="eastAsia"/>
        </w:rPr>
        <w:t>二、任务来源和编制原则</w:t>
      </w:r>
      <w:bookmarkEnd w:id="1"/>
    </w:p>
    <w:p w14:paraId="6B195CC8" w14:textId="77777777" w:rsidR="00431352" w:rsidRDefault="00777C2A">
      <w:pPr>
        <w:pStyle w:val="3"/>
        <w:ind w:firstLine="562"/>
      </w:pPr>
      <w:bookmarkStart w:id="2" w:name="_Toc231303952"/>
      <w:r>
        <w:rPr>
          <w:rFonts w:hint="eastAsia"/>
        </w:rPr>
        <w:t>（一）任务来源</w:t>
      </w:r>
      <w:bookmarkEnd w:id="2"/>
    </w:p>
    <w:p w14:paraId="47096336" w14:textId="77777777" w:rsidR="00431352" w:rsidRDefault="00777C2A">
      <w:pPr>
        <w:ind w:firstLine="560"/>
        <w:rPr>
          <w:color w:val="000000" w:themeColor="text1"/>
        </w:rPr>
      </w:pPr>
      <w:r>
        <w:rPr>
          <w:rFonts w:hint="eastAsia"/>
        </w:rPr>
        <w:t>根据河南省矿业协会“关于下达《固体矿产地质勘查项目野外验收规程》等</w:t>
      </w:r>
      <w:r>
        <w:rPr>
          <w:rFonts w:hint="eastAsia"/>
        </w:rPr>
        <w:t>5</w:t>
      </w:r>
      <w:r>
        <w:rPr>
          <w:rFonts w:hint="eastAsia"/>
        </w:rPr>
        <w:t>项团体标准制定（修订）任务书的通知”（豫矿协字〔</w:t>
      </w:r>
      <w:r>
        <w:rPr>
          <w:rFonts w:hint="eastAsia"/>
        </w:rPr>
        <w:t>20</w:t>
      </w:r>
      <w:r>
        <w:t>24</w:t>
      </w:r>
      <w:r>
        <w:rPr>
          <w:rFonts w:hint="eastAsia"/>
        </w:rPr>
        <w:t>〕</w:t>
      </w:r>
      <w:r>
        <w:rPr>
          <w:rFonts w:hint="eastAsia"/>
        </w:rPr>
        <w:t>2</w:t>
      </w:r>
      <w:r>
        <w:t>6</w:t>
      </w:r>
      <w:r>
        <w:rPr>
          <w:rFonts w:hint="eastAsia"/>
        </w:rPr>
        <w:t>号）”，由河南省矿业协会技术归口，河</w:t>
      </w:r>
      <w:r>
        <w:rPr>
          <w:rFonts w:hint="eastAsia"/>
          <w:color w:val="000000" w:themeColor="text1"/>
        </w:rPr>
        <w:t>南省一地质矿产调查院有限公司牵头，联合成都理工大学、河南省国土空间调查规划院、中国地质大学（北京）、河南省资源环境调查一院有限公司、河南省第六地质大队有限公司、河南省第一地质勘查院有限公司、河南省第三地质矿产调查院有限公司、河南省矿业协会、河南省第七地质大队有限公司、河南省地质局生态环境地质服务中心、洛阳栾川钼业集团股份有限公司、灵宝金源矿业股份有限公司等多家单位共同起草。</w:t>
      </w:r>
    </w:p>
    <w:p w14:paraId="4E2FE083" w14:textId="77777777" w:rsidR="00431352" w:rsidRDefault="00777C2A">
      <w:pPr>
        <w:pStyle w:val="3"/>
        <w:ind w:firstLine="562"/>
      </w:pPr>
      <w:bookmarkStart w:id="3" w:name="_Toc231303953"/>
      <w:r>
        <w:rPr>
          <w:rFonts w:hint="eastAsia"/>
        </w:rPr>
        <w:t>（二）编制原则和依据</w:t>
      </w:r>
      <w:bookmarkEnd w:id="3"/>
    </w:p>
    <w:p w14:paraId="1DC4EFE3" w14:textId="77777777" w:rsidR="00431352" w:rsidRDefault="00777C2A">
      <w:pPr>
        <w:ind w:firstLine="560"/>
      </w:pPr>
      <w:r>
        <w:rPr>
          <w:rFonts w:hint="eastAsia"/>
        </w:rPr>
        <w:t>1</w:t>
      </w:r>
      <w:r>
        <w:t xml:space="preserve">. </w:t>
      </w:r>
      <w:r>
        <w:rPr>
          <w:rFonts w:hint="eastAsia"/>
        </w:rPr>
        <w:t>编制原则</w:t>
      </w:r>
    </w:p>
    <w:p w14:paraId="27339954" w14:textId="77777777" w:rsidR="00431352" w:rsidRDefault="00777C2A">
      <w:pPr>
        <w:ind w:firstLine="560"/>
      </w:pPr>
      <w:r>
        <w:rPr>
          <w:rFonts w:hint="eastAsia"/>
        </w:rPr>
        <w:t>实用性原则：野外验收是固体矿产地质勘查项目不可或缺的关键环节。本规范紧密契合我省当前固体矿产地质勘查野外施工的实际技术手段和组织验收的普遍现状，旨在构建一套贴合实际、逻辑清晰、便于执行的验收规范。其内容设计高度聚焦于解决验收实践中的核心</w:t>
      </w:r>
      <w:r>
        <w:rPr>
          <w:rFonts w:hint="eastAsia"/>
        </w:rPr>
        <w:lastRenderedPageBreak/>
        <w:t>问题，确保规范能够切实指导验收工作，满足项目管理的普遍性需求，因此具备显著的实用性。</w:t>
      </w:r>
    </w:p>
    <w:p w14:paraId="018DF865" w14:textId="77777777" w:rsidR="00431352" w:rsidRDefault="00777C2A">
      <w:pPr>
        <w:ind w:firstLine="560"/>
      </w:pPr>
      <w:r>
        <w:t>可操作性</w:t>
      </w:r>
      <w:r>
        <w:rPr>
          <w:rFonts w:hint="eastAsia"/>
        </w:rPr>
        <w:t>原则：为确保规范落地可行，本规范清晰规定了固体矿产地质勘查野外验收的具体内容要求、应提交的技术文档清单、验收组织实施的规范流程及各环节执行标准。同时，精心设计了附录</w:t>
      </w:r>
      <w:r>
        <w:rPr>
          <w:rFonts w:hint="eastAsia"/>
        </w:rPr>
        <w:t>A</w:t>
      </w:r>
      <w:r>
        <w:rPr>
          <w:rFonts w:hint="eastAsia"/>
        </w:rPr>
        <w:t>固体矿产勘查项目野外工作总结编写提纲、附录</w:t>
      </w:r>
      <w:r>
        <w:t>B</w:t>
      </w:r>
      <w:r>
        <w:rPr>
          <w:rFonts w:hint="eastAsia"/>
        </w:rPr>
        <w:t>固体矿产勘查项目野外验收评分表、附录</w:t>
      </w:r>
      <w:r>
        <w:rPr>
          <w:rFonts w:hint="eastAsia"/>
        </w:rPr>
        <w:t>C</w:t>
      </w:r>
      <w:r>
        <w:rPr>
          <w:rFonts w:hint="eastAsia"/>
        </w:rPr>
        <w:t>固体矿产勘查项目野外验收意见书格式等配套附件，对核心流程和关键要求进行了进一步细化与具象化。</w:t>
      </w:r>
    </w:p>
    <w:p w14:paraId="3E7EFC1B" w14:textId="77777777" w:rsidR="00431352" w:rsidRDefault="00777C2A">
      <w:pPr>
        <w:ind w:firstLine="560"/>
      </w:pPr>
      <w:r>
        <w:rPr>
          <w:rFonts w:hint="eastAsia"/>
        </w:rPr>
        <w:t>合理性原则：广泛征询了地质勘查、矿业开发、项目管理等领域专家的专业意见。编制组对反馈意见进行了多轮深入的研讨论证与吸纳融合，并据此对规范文本进行了反复的修改完善。这一过程有效保障了规范内容的针对性、合理性和可操作性。</w:t>
      </w:r>
    </w:p>
    <w:p w14:paraId="289A613E" w14:textId="77777777" w:rsidR="00431352" w:rsidRDefault="00777C2A">
      <w:pPr>
        <w:ind w:firstLine="560"/>
      </w:pPr>
      <w:r>
        <w:rPr>
          <w:rFonts w:hint="eastAsia"/>
        </w:rPr>
        <w:t>规范性原则：</w:t>
      </w:r>
      <w:r>
        <w:t>严格遵循《标准化工作导则第</w:t>
      </w:r>
      <w:r>
        <w:t>1</w:t>
      </w:r>
      <w:r>
        <w:t>部分：标准化文件的结构和起</w:t>
      </w:r>
      <w:r>
        <w:t xml:space="preserve"> </w:t>
      </w:r>
      <w:r>
        <w:t>草规则》（</w:t>
      </w:r>
      <w:r>
        <w:t>GB/T1.1-2020</w:t>
      </w:r>
      <w:r>
        <w:t>）的要求，明确标准的结构框架、表述方式与技术术语，确保文件格式规范、逻辑清晰，满足标准化工作的统一要求。</w:t>
      </w:r>
    </w:p>
    <w:p w14:paraId="459146C3" w14:textId="77777777" w:rsidR="00431352" w:rsidRDefault="00777C2A">
      <w:pPr>
        <w:ind w:firstLine="560"/>
      </w:pPr>
      <w:r>
        <w:rPr>
          <w:rFonts w:hint="eastAsia"/>
        </w:rPr>
        <w:t>2</w:t>
      </w:r>
      <w:r>
        <w:t xml:space="preserve">. </w:t>
      </w:r>
      <w:r>
        <w:rPr>
          <w:rFonts w:hint="eastAsia"/>
        </w:rPr>
        <w:t>编制依据</w:t>
      </w:r>
    </w:p>
    <w:p w14:paraId="71548C5D" w14:textId="77777777" w:rsidR="00431352" w:rsidRDefault="00777C2A">
      <w:pPr>
        <w:ind w:firstLine="560"/>
      </w:pPr>
      <w:r>
        <w:rPr>
          <w:rFonts w:hint="eastAsia"/>
        </w:rPr>
        <w:t>政策文件：河南省国土资源厅关于进一步加强地质勘查项目管理工作的通知”（豫自然资规〔</w:t>
      </w:r>
      <w:r>
        <w:t>2025</w:t>
      </w:r>
      <w:r>
        <w:rPr>
          <w:rFonts w:hint="eastAsia"/>
        </w:rPr>
        <w:t>〕</w:t>
      </w:r>
      <w:r>
        <w:t>11</w:t>
      </w:r>
      <w:r>
        <w:rPr>
          <w:rFonts w:hint="eastAsia"/>
        </w:rPr>
        <w:t>号）。</w:t>
      </w:r>
    </w:p>
    <w:p w14:paraId="5399D0B5" w14:textId="54686094" w:rsidR="00431352" w:rsidRDefault="00777C2A">
      <w:pPr>
        <w:ind w:firstLine="560"/>
      </w:pPr>
      <w:r>
        <w:rPr>
          <w:rFonts w:hint="eastAsia"/>
        </w:rPr>
        <w:t>国家标准：</w:t>
      </w:r>
      <w:r>
        <w:t>《</w:t>
      </w:r>
      <w:r>
        <w:rPr>
          <w:rFonts w:hint="eastAsia"/>
        </w:rPr>
        <w:t>矿区水文地质工程地质勘查规范</w:t>
      </w:r>
      <w:r>
        <w:t>》（</w:t>
      </w:r>
      <w:r>
        <w:rPr>
          <w:rFonts w:hint="eastAsia"/>
        </w:rPr>
        <w:t>GB/T</w:t>
      </w:r>
      <w:r w:rsidR="00B97127">
        <w:rPr>
          <w:rFonts w:hint="eastAsia"/>
        </w:rPr>
        <w:t xml:space="preserve"> </w:t>
      </w:r>
      <w:r>
        <w:rPr>
          <w:rFonts w:hint="eastAsia"/>
        </w:rPr>
        <w:t>12719</w:t>
      </w:r>
      <w:r>
        <w:t>）、《</w:t>
      </w:r>
      <w:r>
        <w:rPr>
          <w:rFonts w:hint="eastAsia"/>
        </w:rPr>
        <w:t>固体矿产地质勘查规范总则</w:t>
      </w:r>
      <w:r>
        <w:t>》（</w:t>
      </w:r>
      <w:r>
        <w:rPr>
          <w:rFonts w:hint="eastAsia"/>
        </w:rPr>
        <w:t>GB/T</w:t>
      </w:r>
      <w:r w:rsidR="00B97127">
        <w:rPr>
          <w:rFonts w:hint="eastAsia"/>
        </w:rPr>
        <w:t xml:space="preserve"> </w:t>
      </w:r>
      <w:r>
        <w:rPr>
          <w:rFonts w:hint="eastAsia"/>
        </w:rPr>
        <w:t>13908</w:t>
      </w:r>
      <w:r>
        <w:t>）、《</w:t>
      </w:r>
      <w:r>
        <w:rPr>
          <w:rFonts w:hint="eastAsia"/>
        </w:rPr>
        <w:t>地质矿产勘查测量规范</w:t>
      </w:r>
      <w:r>
        <w:t>》（</w:t>
      </w:r>
      <w:r>
        <w:rPr>
          <w:rFonts w:hint="eastAsia"/>
        </w:rPr>
        <w:t>GB/T</w:t>
      </w:r>
      <w:r w:rsidR="00B97127">
        <w:rPr>
          <w:rFonts w:hint="eastAsia"/>
        </w:rPr>
        <w:t xml:space="preserve"> </w:t>
      </w:r>
      <w:r>
        <w:rPr>
          <w:rFonts w:hint="eastAsia"/>
        </w:rPr>
        <w:t>18341</w:t>
      </w:r>
      <w:r>
        <w:t>）、《矿产资源综合勘查评价规范》（</w:t>
      </w:r>
      <w:r>
        <w:t>GB/T</w:t>
      </w:r>
      <w:r w:rsidR="00B97127">
        <w:rPr>
          <w:rFonts w:hint="eastAsia"/>
        </w:rPr>
        <w:t xml:space="preserve"> </w:t>
      </w:r>
      <w:r>
        <w:t>25283</w:t>
      </w:r>
      <w:r>
        <w:t>）、</w:t>
      </w:r>
      <w:r>
        <w:lastRenderedPageBreak/>
        <w:t>《固体矿产勘查工作规范》（</w:t>
      </w:r>
      <w:r>
        <w:t>GB/T</w:t>
      </w:r>
      <w:r w:rsidR="00B97127">
        <w:rPr>
          <w:rFonts w:hint="eastAsia"/>
        </w:rPr>
        <w:t xml:space="preserve"> </w:t>
      </w:r>
      <w:r>
        <w:t>33444</w:t>
      </w:r>
      <w:r>
        <w:t>）</w:t>
      </w:r>
      <w:r>
        <w:rPr>
          <w:rFonts w:hint="eastAsia"/>
        </w:rPr>
        <w:t>。</w:t>
      </w:r>
    </w:p>
    <w:p w14:paraId="4EE89295" w14:textId="077526B5" w:rsidR="00431352" w:rsidRDefault="00777C2A">
      <w:pPr>
        <w:ind w:firstLine="560"/>
      </w:pPr>
      <w:r>
        <w:rPr>
          <w:rFonts w:hint="eastAsia"/>
        </w:rPr>
        <w:t>行业标准：</w:t>
      </w:r>
      <w:r>
        <w:t>《固体矿产勘查原始地质编录规程》（</w:t>
      </w:r>
      <w:r>
        <w:t>DZ/T</w:t>
      </w:r>
      <w:r w:rsidR="00B97127">
        <w:rPr>
          <w:rFonts w:hint="eastAsia"/>
        </w:rPr>
        <w:t xml:space="preserve"> </w:t>
      </w:r>
      <w:r>
        <w:t>0078</w:t>
      </w:r>
      <w:r>
        <w:t>）、《</w:t>
      </w:r>
      <w:r>
        <w:rPr>
          <w:rFonts w:hint="eastAsia"/>
        </w:rPr>
        <w:t>固体矿产勘查地质资料综合整理综合研究技术要求</w:t>
      </w:r>
      <w:r>
        <w:t>》（</w:t>
      </w:r>
      <w:r>
        <w:t>DZ/T</w:t>
      </w:r>
      <w:r w:rsidR="00B97127">
        <w:rPr>
          <w:rFonts w:hint="eastAsia"/>
        </w:rPr>
        <w:t xml:space="preserve"> </w:t>
      </w:r>
      <w:r>
        <w:t>0079</w:t>
      </w:r>
      <w:r>
        <w:t>）、《</w:t>
      </w:r>
      <w:r>
        <w:rPr>
          <w:rFonts w:hint="eastAsia"/>
        </w:rPr>
        <w:t>实验室测试质量管理规范</w:t>
      </w:r>
      <w:r>
        <w:t>》（</w:t>
      </w:r>
      <w:r>
        <w:t>DZ/T</w:t>
      </w:r>
      <w:r w:rsidR="00B97127">
        <w:rPr>
          <w:rFonts w:hint="eastAsia"/>
        </w:rPr>
        <w:t xml:space="preserve"> </w:t>
      </w:r>
      <w:r>
        <w:t>0130</w:t>
      </w:r>
      <w:r>
        <w:t>）</w:t>
      </w:r>
      <w:r w:rsidR="00B97127">
        <w:rPr>
          <w:rFonts w:hint="eastAsia"/>
        </w:rPr>
        <w:t>所有部分</w:t>
      </w:r>
      <w:r>
        <w:t>、《岩石地球化学测量规程》（</w:t>
      </w:r>
      <w:r>
        <w:t>DZ/T</w:t>
      </w:r>
      <w:r w:rsidR="00B97127">
        <w:rPr>
          <w:rFonts w:hint="eastAsia"/>
        </w:rPr>
        <w:t xml:space="preserve"> </w:t>
      </w:r>
      <w:r>
        <w:t>0248</w:t>
      </w:r>
      <w:r>
        <w:t>）、《绿色地质勘查工作规范》（</w:t>
      </w:r>
      <w:r>
        <w:t>DZ/T</w:t>
      </w:r>
      <w:r w:rsidR="00B97127">
        <w:rPr>
          <w:rFonts w:hint="eastAsia"/>
        </w:rPr>
        <w:t xml:space="preserve"> </w:t>
      </w:r>
      <w:r>
        <w:t>0374</w:t>
      </w:r>
      <w:r>
        <w:t>）、《固体矿产勘查地质填图规范》（</w:t>
      </w:r>
      <w:r>
        <w:t>DZ/T</w:t>
      </w:r>
      <w:r w:rsidR="00B97127">
        <w:rPr>
          <w:rFonts w:hint="eastAsia"/>
        </w:rPr>
        <w:t xml:space="preserve"> </w:t>
      </w:r>
      <w:r>
        <w:t>0382</w:t>
      </w:r>
      <w:r>
        <w:t>）、《固体矿产勘查设计规范》（</w:t>
      </w:r>
      <w:r>
        <w:t>DZ/T</w:t>
      </w:r>
      <w:r w:rsidR="00B97127">
        <w:rPr>
          <w:rFonts w:hint="eastAsia"/>
        </w:rPr>
        <w:t xml:space="preserve"> </w:t>
      </w:r>
      <w:r>
        <w:t>0428</w:t>
      </w:r>
      <w:r>
        <w:t>）、《固体矿产勘查采样规范》（</w:t>
      </w:r>
      <w:r>
        <w:t>DZ/T</w:t>
      </w:r>
      <w:r w:rsidR="00B97127">
        <w:rPr>
          <w:rFonts w:hint="eastAsia"/>
        </w:rPr>
        <w:t xml:space="preserve"> </w:t>
      </w:r>
      <w:r>
        <w:t>0429</w:t>
      </w:r>
      <w:r>
        <w:t>）、《固体矿产勘查钻孔质量要求》（</w:t>
      </w:r>
      <w:r>
        <w:t>DZ/T</w:t>
      </w:r>
      <w:r w:rsidR="00B97127">
        <w:rPr>
          <w:rFonts w:hint="eastAsia"/>
        </w:rPr>
        <w:t xml:space="preserve"> </w:t>
      </w:r>
      <w:r>
        <w:t>0486</w:t>
      </w:r>
      <w:r>
        <w:t>）、《地质勘查活动质量管理规范</w:t>
      </w:r>
      <w:r>
        <w:t> </w:t>
      </w:r>
      <w:r>
        <w:t>》（</w:t>
      </w:r>
      <w:r>
        <w:t>DZ/T</w:t>
      </w:r>
      <w:r w:rsidR="00B97127">
        <w:rPr>
          <w:rFonts w:hint="eastAsia"/>
        </w:rPr>
        <w:t xml:space="preserve"> </w:t>
      </w:r>
      <w:r>
        <w:t>0425</w:t>
      </w:r>
      <w:r>
        <w:t>）</w:t>
      </w:r>
      <w:r>
        <w:rPr>
          <w:rFonts w:hint="eastAsia"/>
        </w:rPr>
        <w:t>。</w:t>
      </w:r>
    </w:p>
    <w:p w14:paraId="4B4C4E5F" w14:textId="77777777" w:rsidR="00431352" w:rsidRDefault="00777C2A">
      <w:pPr>
        <w:pStyle w:val="2"/>
        <w:ind w:firstLineChars="0"/>
      </w:pPr>
      <w:bookmarkStart w:id="4" w:name="_Toc231303954"/>
      <w:r>
        <w:rPr>
          <w:rFonts w:hint="eastAsia"/>
        </w:rPr>
        <w:t>三、编写过程</w:t>
      </w:r>
      <w:bookmarkEnd w:id="4"/>
    </w:p>
    <w:p w14:paraId="49677019" w14:textId="77777777" w:rsidR="00431352" w:rsidRDefault="00777C2A">
      <w:pPr>
        <w:pStyle w:val="3"/>
        <w:ind w:firstLine="562"/>
      </w:pPr>
      <w:bookmarkStart w:id="5" w:name="_Toc231303955"/>
      <w:r>
        <w:rPr>
          <w:rFonts w:hint="eastAsia"/>
        </w:rPr>
        <w:t>（一）成立标准编制组</w:t>
      </w:r>
      <w:bookmarkEnd w:id="5"/>
    </w:p>
    <w:p w14:paraId="204443E7" w14:textId="77777777" w:rsidR="00431352" w:rsidRDefault="00777C2A">
      <w:pPr>
        <w:ind w:firstLine="560"/>
      </w:pPr>
      <w:r>
        <w:t xml:space="preserve"> </w:t>
      </w:r>
      <w:r>
        <w:rPr>
          <w:rFonts w:hint="eastAsia"/>
        </w:rPr>
        <w:t>2024</w:t>
      </w:r>
      <w:r>
        <w:rPr>
          <w:rFonts w:hint="eastAsia"/>
        </w:rPr>
        <w:t>年</w:t>
      </w:r>
      <w:r>
        <w:rPr>
          <w:rFonts w:hint="eastAsia"/>
        </w:rPr>
        <w:t>7</w:t>
      </w:r>
      <w:r>
        <w:rPr>
          <w:rFonts w:hint="eastAsia"/>
        </w:rPr>
        <w:t>月，由河</w:t>
      </w:r>
      <w:r>
        <w:rPr>
          <w:rFonts w:hint="eastAsia"/>
          <w:color w:val="000000" w:themeColor="text1"/>
        </w:rPr>
        <w:t>南省一地质矿产调查院有限公司、成都理工大学、河南省国土空间调查规划院、中国地质大学（北京）、河南省资源环境调查一院有限公司、河南省第六地质大队有限公司、河南省第一地质勘查院有限公司、河南省第三地质矿产调查院有限公司、河南省矿业协会、河南省第七地质大队有限公司、河南省地质局生态环境地质服务中心、洛阳栾川钼业集团股份有限公司、灵宝金源矿业股份有限公司组成标准起草小组</w:t>
      </w:r>
      <w:r>
        <w:rPr>
          <w:rFonts w:hint="eastAsia"/>
        </w:rPr>
        <w:t>。标准起草小组结合团体标准制定相关管理要求及工作目标，系统编制专项工作实施方案，明确标准编制整体工作思路、阶段任务、时间节点及工作要求，细化各项目成员岗位职责与分工，建立常态化工作推进机制，为后续标准编制工作有序开展奠定组织与工作基础。</w:t>
      </w:r>
    </w:p>
    <w:p w14:paraId="75EDC011" w14:textId="77777777" w:rsidR="00431352" w:rsidRDefault="00777C2A">
      <w:pPr>
        <w:pStyle w:val="3"/>
        <w:ind w:firstLine="562"/>
      </w:pPr>
      <w:bookmarkStart w:id="6" w:name="_Toc231303956"/>
      <w:r>
        <w:rPr>
          <w:rFonts w:hint="eastAsia"/>
        </w:rPr>
        <w:lastRenderedPageBreak/>
        <w:t>（二）资料收集、调查研究分析</w:t>
      </w:r>
      <w:bookmarkEnd w:id="6"/>
    </w:p>
    <w:p w14:paraId="3CEE537F" w14:textId="77777777" w:rsidR="00431352" w:rsidRDefault="00777C2A">
      <w:pPr>
        <w:ind w:firstLine="560"/>
      </w:pPr>
      <w:r>
        <w:rPr>
          <w:rFonts w:hint="eastAsia"/>
        </w:rPr>
        <w:t>2024</w:t>
      </w:r>
      <w:r>
        <w:rPr>
          <w:rFonts w:hint="eastAsia"/>
        </w:rPr>
        <w:t>年</w:t>
      </w:r>
      <w:r>
        <w:rPr>
          <w:rFonts w:hint="eastAsia"/>
        </w:rPr>
        <w:t>8</w:t>
      </w:r>
      <w:r>
        <w:rPr>
          <w:rFonts w:hint="eastAsia"/>
        </w:rPr>
        <w:t>月，按照既定编制工作进度计划，标准起草小组全面开展基础资料收集与前期调研工作。本次工作聚焦河南省固体矿产地质勘查野外验收管理现状、行业技术要求及现有管理制度体系，系统梳理收集各类行业管理文件、技术细则及验收规范资料，核心资料包含《河南省国土资源厅关于进一步加强地质勘查项目管理工作的通知》（豫国土资发〔</w:t>
      </w:r>
      <w:r>
        <w:rPr>
          <w:rFonts w:hint="eastAsia"/>
        </w:rPr>
        <w:t>2006</w:t>
      </w:r>
      <w:r>
        <w:rPr>
          <w:rFonts w:hint="eastAsia"/>
        </w:rPr>
        <w:t>〕</w:t>
      </w:r>
      <w:r>
        <w:rPr>
          <w:rFonts w:hint="eastAsia"/>
        </w:rPr>
        <w:t>113</w:t>
      </w:r>
      <w:r>
        <w:rPr>
          <w:rFonts w:hint="eastAsia"/>
        </w:rPr>
        <w:t>号）《河南省自然资源厅关于印发〈河南省省级财政地质勘查项目管理工作规程〉的通知》（豫自然资发〔</w:t>
      </w:r>
      <w:r>
        <w:rPr>
          <w:rFonts w:hint="eastAsia"/>
        </w:rPr>
        <w:t>2019</w:t>
      </w:r>
      <w:r>
        <w:rPr>
          <w:rFonts w:hint="eastAsia"/>
        </w:rPr>
        <w:t>〕</w:t>
      </w:r>
      <w:r>
        <w:rPr>
          <w:rFonts w:hint="eastAsia"/>
        </w:rPr>
        <w:t>81</w:t>
      </w:r>
      <w:r>
        <w:rPr>
          <w:rFonts w:hint="eastAsia"/>
        </w:rPr>
        <w:t>号）《河南省自然资源厅关于印发河南省省级财政地质勘查项目管理办法的通知》（豫自然资规〔</w:t>
      </w:r>
      <w:r>
        <w:rPr>
          <w:rFonts w:hint="eastAsia"/>
        </w:rPr>
        <w:t>2025</w:t>
      </w:r>
      <w:r>
        <w:rPr>
          <w:rFonts w:hint="eastAsia"/>
        </w:rPr>
        <w:t>〕</w:t>
      </w:r>
      <w:r>
        <w:rPr>
          <w:rFonts w:hint="eastAsia"/>
        </w:rPr>
        <w:t>11</w:t>
      </w:r>
      <w:r>
        <w:rPr>
          <w:rFonts w:hint="eastAsia"/>
        </w:rPr>
        <w:t>号）《老矿山找矿项目技术管理细则（试行）》《中国地质调查局地质调查项目野外验收要求》等地方管理文件及行业专项技术要求，为标准编制提供基础资料支撑。</w:t>
      </w:r>
    </w:p>
    <w:p w14:paraId="1E060AC7" w14:textId="77777777" w:rsidR="00431352" w:rsidRDefault="00777C2A">
      <w:pPr>
        <w:pStyle w:val="3"/>
        <w:ind w:firstLine="562"/>
      </w:pPr>
      <w:bookmarkStart w:id="7" w:name="_Toc231303957"/>
      <w:r>
        <w:rPr>
          <w:rFonts w:hint="eastAsia"/>
        </w:rPr>
        <w:t>（三）编写草稿</w:t>
      </w:r>
      <w:bookmarkEnd w:id="7"/>
    </w:p>
    <w:p w14:paraId="68D82D63" w14:textId="77777777" w:rsidR="00431352" w:rsidRDefault="00777C2A">
      <w:pPr>
        <w:ind w:firstLine="560"/>
      </w:pPr>
      <w:r>
        <w:rPr>
          <w:rFonts w:hint="eastAsia"/>
        </w:rPr>
        <w:t>2024</w:t>
      </w:r>
      <w:r>
        <w:rPr>
          <w:rFonts w:hint="eastAsia"/>
        </w:rPr>
        <w:t>年</w:t>
      </w:r>
      <w:r>
        <w:rPr>
          <w:rFonts w:hint="eastAsia"/>
        </w:rPr>
        <w:t>9</w:t>
      </w:r>
      <w:r>
        <w:rPr>
          <w:rFonts w:hint="eastAsia"/>
        </w:rPr>
        <w:t>月，编制组对前期收集的各类文献资料、管理制度及技术文件开展系统性梳理、甄别、分析与深度研究。按照《标准化工作导则第</w:t>
      </w:r>
      <w:r>
        <w:rPr>
          <w:rFonts w:hint="eastAsia"/>
        </w:rPr>
        <w:t>1</w:t>
      </w:r>
      <w:r>
        <w:rPr>
          <w:rFonts w:hint="eastAsia"/>
        </w:rPr>
        <w:t>部分：标准化文件的结构和起草规则》的要求，初步确定本标准的整体编制框架、核心章节结构及主要编制内容。通过面向行业单位、技术专家初步征求意见，进一步明确固体矿产勘查野外验收的基本技术要求、成果资料提交规范、全流程验收程序等核心内容，最终形成本标准初期草案文本。</w:t>
      </w:r>
    </w:p>
    <w:p w14:paraId="4852188A" w14:textId="77777777" w:rsidR="00431352" w:rsidRDefault="00777C2A">
      <w:pPr>
        <w:pStyle w:val="3"/>
        <w:ind w:firstLine="562"/>
      </w:pPr>
      <w:bookmarkStart w:id="8" w:name="_Toc231303958"/>
      <w:r>
        <w:rPr>
          <w:rFonts w:hint="eastAsia"/>
        </w:rPr>
        <w:t>（四）立项评估</w:t>
      </w:r>
      <w:bookmarkEnd w:id="8"/>
    </w:p>
    <w:p w14:paraId="10843D5A" w14:textId="77777777" w:rsidR="00431352" w:rsidRDefault="00777C2A">
      <w:pPr>
        <w:ind w:firstLine="560"/>
      </w:pPr>
      <w:r>
        <w:rPr>
          <w:rFonts w:hint="eastAsia"/>
        </w:rPr>
        <w:t>2024</w:t>
      </w:r>
      <w:r>
        <w:rPr>
          <w:rFonts w:hint="eastAsia"/>
        </w:rPr>
        <w:t>年</w:t>
      </w:r>
      <w:r>
        <w:rPr>
          <w:rFonts w:hint="eastAsia"/>
        </w:rPr>
        <w:t>10</w:t>
      </w:r>
      <w:r>
        <w:rPr>
          <w:rFonts w:hint="eastAsia"/>
        </w:rPr>
        <w:t>月</w:t>
      </w:r>
      <w:r>
        <w:rPr>
          <w:rFonts w:hint="eastAsia"/>
        </w:rPr>
        <w:t>2</w:t>
      </w:r>
      <w:r>
        <w:t>4</w:t>
      </w:r>
      <w:r>
        <w:rPr>
          <w:rFonts w:hint="eastAsia"/>
        </w:rPr>
        <w:t>日，河南省矿业协会组织专家召开了团体标准</w:t>
      </w:r>
      <w:r>
        <w:rPr>
          <w:rFonts w:hint="eastAsia"/>
        </w:rPr>
        <w:lastRenderedPageBreak/>
        <w:t>立项评估会议，批准了本文件的立项，正式启动编制工作。</w:t>
      </w:r>
    </w:p>
    <w:p w14:paraId="3C3269A8" w14:textId="77777777" w:rsidR="00431352" w:rsidRDefault="00777C2A">
      <w:pPr>
        <w:pStyle w:val="3"/>
        <w:ind w:firstLine="562"/>
      </w:pPr>
      <w:bookmarkStart w:id="9" w:name="_Toc231303959"/>
      <w:r>
        <w:rPr>
          <w:rFonts w:hint="eastAsia"/>
        </w:rPr>
        <w:t>（五）征求意见稿</w:t>
      </w:r>
      <w:bookmarkEnd w:id="9"/>
    </w:p>
    <w:p w14:paraId="750C2234" w14:textId="77777777" w:rsidR="00431352" w:rsidRDefault="00777C2A">
      <w:pPr>
        <w:ind w:firstLine="560"/>
      </w:pPr>
      <w:r>
        <w:rPr>
          <w:rFonts w:hint="eastAsia"/>
        </w:rPr>
        <w:t>2024</w:t>
      </w:r>
      <w:r>
        <w:rPr>
          <w:rFonts w:hint="eastAsia"/>
        </w:rPr>
        <w:t>年</w:t>
      </w:r>
      <w:r>
        <w:rPr>
          <w:rFonts w:hint="eastAsia"/>
        </w:rPr>
        <w:t>11</w:t>
      </w:r>
      <w:r>
        <w:rPr>
          <w:rFonts w:hint="eastAsia"/>
        </w:rPr>
        <w:t>月至</w:t>
      </w:r>
      <w:r>
        <w:rPr>
          <w:rFonts w:hint="eastAsia"/>
        </w:rPr>
        <w:t xml:space="preserve">2025 </w:t>
      </w:r>
      <w:r>
        <w:rPr>
          <w:rFonts w:hint="eastAsia"/>
        </w:rPr>
        <w:t>年</w:t>
      </w:r>
      <w:r>
        <w:rPr>
          <w:rFonts w:hint="eastAsia"/>
        </w:rPr>
        <w:t>9</w:t>
      </w:r>
      <w:r>
        <w:rPr>
          <w:rFonts w:hint="eastAsia"/>
        </w:rPr>
        <w:t>月，编写起草小组以初稿为基础，结合行业最新技术发展、管理要求及标准编制规范，持续开展条款优化、内容校核、逻辑梳理及合规性审查工作，同步配套编制标准编制说明，详细阐述标准编制依据、编制过程、技术条款说明、创新点及适用性分析，最终形成《固体矿产地质勘查项目野外验收规程》团体标准征求意见稿及对应编制说明。</w:t>
      </w:r>
    </w:p>
    <w:p w14:paraId="6D890C5D" w14:textId="77777777" w:rsidR="00431352" w:rsidRDefault="00777C2A">
      <w:pPr>
        <w:ind w:firstLine="560"/>
      </w:pPr>
      <w:r>
        <w:rPr>
          <w:rFonts w:hint="eastAsia"/>
        </w:rPr>
        <w:t>2025</w:t>
      </w:r>
      <w:r>
        <w:rPr>
          <w:rFonts w:hint="eastAsia"/>
        </w:rPr>
        <w:t>年</w:t>
      </w:r>
      <w:r>
        <w:rPr>
          <w:rFonts w:hint="eastAsia"/>
        </w:rPr>
        <w:t>10</w:t>
      </w:r>
      <w:r>
        <w:rPr>
          <w:rFonts w:hint="eastAsia"/>
        </w:rPr>
        <w:t>月，该标准通过河南省矿业协会平台以网络、电子邮件等方式公开征求意见，广泛征求了河南理工大学、中化地质矿山总局河南地质局、南阳市自然资源局、卢氏中科矿业有限公司、河南工程学院、内乡县自然资源局等</w:t>
      </w:r>
      <w:r>
        <w:rPr>
          <w:rFonts w:hint="eastAsia"/>
        </w:rPr>
        <w:t>2</w:t>
      </w:r>
      <w:r>
        <w:t>5</w:t>
      </w:r>
      <w:r>
        <w:rPr>
          <w:rFonts w:hint="eastAsia"/>
        </w:rPr>
        <w:t>家单位。</w:t>
      </w:r>
    </w:p>
    <w:p w14:paraId="3DAC4625" w14:textId="77777777" w:rsidR="00431352" w:rsidRDefault="00777C2A">
      <w:pPr>
        <w:pStyle w:val="3"/>
        <w:ind w:firstLine="562"/>
      </w:pPr>
      <w:bookmarkStart w:id="10" w:name="_Toc231303960"/>
      <w:r>
        <w:rPr>
          <w:rFonts w:hint="eastAsia"/>
        </w:rPr>
        <w:t>（六）送审稿</w:t>
      </w:r>
      <w:bookmarkEnd w:id="10"/>
    </w:p>
    <w:p w14:paraId="150BC4BF" w14:textId="77777777" w:rsidR="00431352" w:rsidRDefault="00777C2A">
      <w:pPr>
        <w:ind w:firstLine="560"/>
      </w:pPr>
      <w:r>
        <w:rPr>
          <w:rFonts w:hint="eastAsia"/>
        </w:rPr>
        <w:t>2026</w:t>
      </w:r>
      <w:r>
        <w:rPr>
          <w:rFonts w:hint="eastAsia"/>
        </w:rPr>
        <w:t>年</w:t>
      </w:r>
      <w:r>
        <w:rPr>
          <w:rFonts w:hint="eastAsia"/>
        </w:rPr>
        <w:t>1</w:t>
      </w:r>
      <w:r>
        <w:rPr>
          <w:rFonts w:hint="eastAsia"/>
        </w:rPr>
        <w:t>月至</w:t>
      </w:r>
      <w:r>
        <w:rPr>
          <w:rFonts w:hint="eastAsia"/>
        </w:rPr>
        <w:t>4</w:t>
      </w:r>
      <w:r>
        <w:rPr>
          <w:rFonts w:hint="eastAsia"/>
        </w:rPr>
        <w:t>月，规划编制小组系统汇总、梳理、分析各方反馈意见，对合理意见全部吸纳落实，逐条修订完善标准文本及编制说明，完成校核、统稿工作，形成标准送审稿。</w:t>
      </w:r>
    </w:p>
    <w:p w14:paraId="7F879BEA" w14:textId="77777777" w:rsidR="00431352" w:rsidRDefault="00777C2A">
      <w:pPr>
        <w:pStyle w:val="3"/>
        <w:ind w:firstLine="562"/>
      </w:pPr>
      <w:bookmarkStart w:id="11" w:name="_Toc231303961"/>
      <w:r>
        <w:rPr>
          <w:rFonts w:hint="eastAsia"/>
        </w:rPr>
        <w:t>（七）报批稿</w:t>
      </w:r>
      <w:bookmarkEnd w:id="11"/>
    </w:p>
    <w:p w14:paraId="1075599F" w14:textId="77777777" w:rsidR="00431352" w:rsidRDefault="00777C2A">
      <w:pPr>
        <w:ind w:firstLine="560"/>
      </w:pPr>
      <w:r>
        <w:rPr>
          <w:rFonts w:hint="eastAsia"/>
        </w:rPr>
        <w:t>2026</w:t>
      </w:r>
      <w:r>
        <w:rPr>
          <w:rFonts w:hint="eastAsia"/>
        </w:rPr>
        <w:t>年</w:t>
      </w:r>
      <w:r>
        <w:rPr>
          <w:rFonts w:hint="eastAsia"/>
        </w:rPr>
        <w:t>5</w:t>
      </w:r>
      <w:r>
        <w:rPr>
          <w:rFonts w:hint="eastAsia"/>
        </w:rPr>
        <w:t>月</w:t>
      </w:r>
      <w:r>
        <w:rPr>
          <w:rFonts w:hint="eastAsia"/>
        </w:rPr>
        <w:t>27</w:t>
      </w:r>
      <w:r>
        <w:rPr>
          <w:rFonts w:hint="eastAsia"/>
        </w:rPr>
        <w:t>日，河南省矿业协会在郑州市组织召开团体标准审查会，河南省自然资源厅、河南省地质局、灵宝黄金集团股份有限公司、河南省矿业协会、郑州市标准化协会等单位的</w:t>
      </w:r>
      <w:r>
        <w:rPr>
          <w:rFonts w:hint="eastAsia"/>
        </w:rPr>
        <w:t>5</w:t>
      </w:r>
      <w:r>
        <w:rPr>
          <w:rFonts w:hint="eastAsia"/>
        </w:rPr>
        <w:t>位行业专家对《固体矿产地质勘查项目野外验收规程》进行了技术审查，</w:t>
      </w:r>
      <w:r>
        <w:t>顺利通过。</w:t>
      </w:r>
      <w:r>
        <w:t xml:space="preserve"> </w:t>
      </w:r>
    </w:p>
    <w:p w14:paraId="00FBD4C0" w14:textId="77777777" w:rsidR="00431352" w:rsidRDefault="00777C2A">
      <w:pPr>
        <w:ind w:firstLine="560"/>
      </w:pPr>
      <w:r>
        <w:t>通过审查后，规范编制组根据技术审查会专家提出的意见对规范</w:t>
      </w:r>
      <w:r>
        <w:lastRenderedPageBreak/>
        <w:t>文本和编制说明进一步修改和完善，形成了报批稿报送河南省矿业协会批准发布实施。</w:t>
      </w:r>
    </w:p>
    <w:p w14:paraId="581D6EC3" w14:textId="77777777" w:rsidR="00431352" w:rsidRDefault="00777C2A">
      <w:pPr>
        <w:pStyle w:val="2"/>
        <w:ind w:firstLine="562"/>
        <w:rPr>
          <w:color w:val="000000" w:themeColor="text1"/>
        </w:rPr>
      </w:pPr>
      <w:bookmarkStart w:id="12" w:name="_Toc231303962"/>
      <w:r>
        <w:rPr>
          <w:rFonts w:hint="eastAsia"/>
          <w:color w:val="000000" w:themeColor="text1"/>
        </w:rPr>
        <w:t>四、主要内容的确定</w:t>
      </w:r>
      <w:bookmarkEnd w:id="12"/>
    </w:p>
    <w:p w14:paraId="7C2F24B3" w14:textId="77777777" w:rsidR="00431352" w:rsidRDefault="00777C2A">
      <w:pPr>
        <w:ind w:firstLine="560"/>
      </w:pPr>
      <w:r>
        <w:rPr>
          <w:rFonts w:hint="eastAsia"/>
        </w:rPr>
        <w:t xml:space="preserve"> </w:t>
      </w:r>
      <w:r>
        <w:t>本标准内容包含</w:t>
      </w:r>
      <w:r>
        <w:t>10</w:t>
      </w:r>
      <w:r>
        <w:t>章，同时还包括前言和附录。其中：</w:t>
      </w:r>
    </w:p>
    <w:p w14:paraId="379FE7FB" w14:textId="62485A5B" w:rsidR="00431352" w:rsidRDefault="00777C2A">
      <w:pPr>
        <w:ind w:firstLine="560"/>
      </w:pPr>
      <w:r>
        <w:t>1</w:t>
      </w:r>
      <w:r>
        <w:rPr>
          <w:rFonts w:hint="eastAsia"/>
        </w:rPr>
        <w:t>.</w:t>
      </w:r>
      <w:r>
        <w:t xml:space="preserve"> </w:t>
      </w:r>
      <w:r>
        <w:t>第</w:t>
      </w:r>
      <w:r>
        <w:t>1</w:t>
      </w:r>
      <w:r>
        <w:t>章</w:t>
      </w:r>
      <w:r>
        <w:t>“</w:t>
      </w:r>
      <w:r>
        <w:t>范围</w:t>
      </w:r>
      <w:r>
        <w:t>”</w:t>
      </w:r>
      <w:r>
        <w:t>：本文件适用于</w:t>
      </w:r>
      <w:r>
        <w:rPr>
          <w:rFonts w:hint="eastAsia"/>
        </w:rPr>
        <w:t>河南省</w:t>
      </w:r>
      <w:r>
        <w:rPr>
          <w:rFonts w:hint="eastAsia"/>
          <w:color w:val="000000" w:themeColor="text1"/>
        </w:rPr>
        <w:t>固体矿产地质勘查各阶段的野外验收工作</w:t>
      </w:r>
      <w:r>
        <w:rPr>
          <w:rFonts w:hint="eastAsia"/>
        </w:rPr>
        <w:t>。</w:t>
      </w:r>
    </w:p>
    <w:p w14:paraId="46C1DB7A" w14:textId="5626F0DC" w:rsidR="00431352" w:rsidRDefault="00777C2A">
      <w:pPr>
        <w:ind w:firstLine="560"/>
      </w:pPr>
      <w:r>
        <w:t>2</w:t>
      </w:r>
      <w:r>
        <w:rPr>
          <w:rFonts w:hint="eastAsia"/>
        </w:rPr>
        <w:t>.</w:t>
      </w:r>
      <w:r w:rsidR="00F662A9">
        <w:t xml:space="preserve"> </w:t>
      </w:r>
      <w:r>
        <w:t xml:space="preserve"> </w:t>
      </w:r>
      <w:r>
        <w:t>第</w:t>
      </w:r>
      <w:r w:rsidR="00E406A0">
        <w:t>4</w:t>
      </w:r>
      <w:r>
        <w:t>章</w:t>
      </w:r>
      <w:r>
        <w:t>“</w:t>
      </w:r>
      <w:r>
        <w:rPr>
          <w:rFonts w:hint="eastAsia"/>
        </w:rPr>
        <w:t>基本要求</w:t>
      </w:r>
      <w:r>
        <w:t xml:space="preserve">” </w:t>
      </w:r>
      <w:r>
        <w:t>：</w:t>
      </w:r>
      <w:r>
        <w:rPr>
          <w:rFonts w:hint="eastAsia"/>
        </w:rPr>
        <w:t>明确了野外验收项目的范围，验收的地点、验收的依据以及符合野外验收项目所具备的条件。</w:t>
      </w:r>
    </w:p>
    <w:p w14:paraId="160DA972" w14:textId="2AF6E11E" w:rsidR="00431352" w:rsidRDefault="00F662A9">
      <w:pPr>
        <w:ind w:firstLine="560"/>
        <w:rPr>
          <w:rFonts w:cs="Times New Roman"/>
          <w:color w:val="0F1115"/>
          <w:shd w:val="clear" w:color="auto" w:fill="FFFFFF"/>
        </w:rPr>
      </w:pPr>
      <w:r>
        <w:rPr>
          <w:rFonts w:hint="eastAsia"/>
        </w:rPr>
        <w:t>3</w:t>
      </w:r>
      <w:r w:rsidR="00777C2A">
        <w:rPr>
          <w:rFonts w:hint="eastAsia"/>
        </w:rPr>
        <w:t>.</w:t>
      </w:r>
      <w:r w:rsidR="00777C2A">
        <w:t xml:space="preserve"> </w:t>
      </w:r>
      <w:r w:rsidR="00777C2A">
        <w:t>第</w:t>
      </w:r>
      <w:r w:rsidR="00E406A0">
        <w:t>5</w:t>
      </w:r>
      <w:r w:rsidR="00777C2A">
        <w:t>章</w:t>
      </w:r>
      <w:r w:rsidR="00777C2A">
        <w:t>“</w:t>
      </w:r>
      <w:r w:rsidR="00777C2A">
        <w:rPr>
          <w:rFonts w:hint="eastAsia"/>
        </w:rPr>
        <w:t>验收资料</w:t>
      </w:r>
      <w:r w:rsidR="00777C2A">
        <w:t xml:space="preserve">” </w:t>
      </w:r>
      <w:r w:rsidR="00777C2A">
        <w:t>：</w:t>
      </w:r>
      <w:r w:rsidR="00777C2A">
        <w:rPr>
          <w:rFonts w:ascii="Segoe UI" w:hAnsi="Segoe UI" w:cs="Segoe UI"/>
          <w:color w:val="0F1115"/>
          <w:shd w:val="clear" w:color="auto" w:fill="FFFFFF"/>
        </w:rPr>
        <w:t>明确</w:t>
      </w:r>
      <w:r w:rsidR="00777C2A">
        <w:rPr>
          <w:rFonts w:ascii="Segoe UI" w:hAnsi="Segoe UI" w:cs="Segoe UI" w:hint="eastAsia"/>
          <w:color w:val="0F1115"/>
          <w:shd w:val="clear" w:color="auto" w:fill="FFFFFF"/>
        </w:rPr>
        <w:t>了</w:t>
      </w:r>
      <w:r w:rsidR="00777C2A">
        <w:rPr>
          <w:rFonts w:ascii="Segoe UI" w:hAnsi="Segoe UI" w:cs="Segoe UI"/>
          <w:color w:val="0F1115"/>
          <w:shd w:val="clear" w:color="auto" w:fill="FFFFFF"/>
        </w:rPr>
        <w:t>野外验收所需四类资料：项目技术管理资料（合同</w:t>
      </w:r>
      <w:r w:rsidR="00777C2A">
        <w:rPr>
          <w:rFonts w:ascii="Segoe UI" w:hAnsi="Segoe UI" w:cs="Segoe UI" w:hint="eastAsia"/>
          <w:color w:val="0F1115"/>
          <w:shd w:val="clear" w:color="auto" w:fill="FFFFFF"/>
        </w:rPr>
        <w:t>、勘查方案</w:t>
      </w:r>
      <w:r w:rsidR="00777C2A">
        <w:rPr>
          <w:rFonts w:ascii="Segoe UI" w:hAnsi="Segoe UI" w:cs="Segoe UI"/>
          <w:color w:val="0F1115"/>
          <w:shd w:val="clear" w:color="auto" w:fill="FFFFFF"/>
        </w:rPr>
        <w:t>、设计及变更批复等）、原始地质资料（编录、采样测试记录、实物标本、综合解释、仪器校验记录等）、野外工作质量</w:t>
      </w:r>
      <w:r w:rsidR="00777C2A">
        <w:rPr>
          <w:rFonts w:cs="Times New Roman"/>
          <w:color w:val="0F1115"/>
          <w:shd w:val="clear" w:color="auto" w:fill="FFFFFF"/>
        </w:rPr>
        <w:t>检查记录以及野外验收工作总结，从而确保验收流程完整、可追溯，为客观评价野外工作成果提供依据。</w:t>
      </w:r>
    </w:p>
    <w:p w14:paraId="252A30E4" w14:textId="256EC4F4" w:rsidR="00431352" w:rsidRDefault="00F662A9">
      <w:pPr>
        <w:ind w:firstLine="560"/>
        <w:rPr>
          <w:rFonts w:cs="Times New Roman"/>
          <w:color w:val="0F1115"/>
          <w:shd w:val="clear" w:color="auto" w:fill="FFFFFF"/>
        </w:rPr>
      </w:pPr>
      <w:r>
        <w:rPr>
          <w:rFonts w:cs="Times New Roman" w:hint="eastAsia"/>
          <w:color w:val="0F1115"/>
          <w:shd w:val="clear" w:color="auto" w:fill="FFFFFF"/>
        </w:rPr>
        <w:t>4</w:t>
      </w:r>
      <w:r w:rsidR="00777C2A">
        <w:rPr>
          <w:rFonts w:cs="Times New Roman"/>
          <w:color w:val="0F1115"/>
          <w:shd w:val="clear" w:color="auto" w:fill="FFFFFF"/>
        </w:rPr>
        <w:t xml:space="preserve">. </w:t>
      </w:r>
      <w:r w:rsidR="00777C2A">
        <w:rPr>
          <w:rFonts w:cs="Times New Roman"/>
        </w:rPr>
        <w:t>第</w:t>
      </w:r>
      <w:r w:rsidR="00E406A0">
        <w:rPr>
          <w:rFonts w:cs="Times New Roman"/>
        </w:rPr>
        <w:t>6</w:t>
      </w:r>
      <w:r w:rsidR="00777C2A">
        <w:rPr>
          <w:rFonts w:cs="Times New Roman"/>
        </w:rPr>
        <w:t>章</w:t>
      </w:r>
      <w:r w:rsidR="00777C2A">
        <w:rPr>
          <w:rFonts w:cs="Times New Roman"/>
        </w:rPr>
        <w:t>“</w:t>
      </w:r>
      <w:r w:rsidR="00777C2A">
        <w:rPr>
          <w:rFonts w:cs="Times New Roman"/>
        </w:rPr>
        <w:t>验收</w:t>
      </w:r>
      <w:r w:rsidR="00777C2A">
        <w:rPr>
          <w:rFonts w:cs="Times New Roman" w:hint="eastAsia"/>
        </w:rPr>
        <w:t>准备</w:t>
      </w:r>
      <w:r w:rsidR="00777C2A">
        <w:rPr>
          <w:rFonts w:cs="Times New Roman"/>
        </w:rPr>
        <w:t xml:space="preserve">” </w:t>
      </w:r>
      <w:r w:rsidR="00777C2A">
        <w:rPr>
          <w:rFonts w:cs="Times New Roman"/>
        </w:rPr>
        <w:t>：</w:t>
      </w:r>
      <w:r w:rsidR="00777C2A">
        <w:rPr>
          <w:rFonts w:cs="Times New Roman" w:hint="eastAsia"/>
        </w:rPr>
        <w:t>明确了验收的组织单位、验收专家的组成，</w:t>
      </w:r>
      <w:r w:rsidR="00777C2A">
        <w:rPr>
          <w:rFonts w:ascii="Segoe UI" w:hAnsi="Segoe UI" w:cs="Segoe UI"/>
          <w:color w:val="0F1115"/>
          <w:shd w:val="clear" w:color="auto" w:fill="FFFFFF"/>
        </w:rPr>
        <w:t>确保验收工作的权威性、专业性与公正性</w:t>
      </w:r>
      <w:r w:rsidR="00777C2A">
        <w:rPr>
          <w:rFonts w:ascii="Segoe UI" w:hAnsi="Segoe UI" w:cs="Segoe UI" w:hint="eastAsia"/>
          <w:color w:val="0F1115"/>
          <w:shd w:val="clear" w:color="auto" w:fill="FFFFFF"/>
        </w:rPr>
        <w:t>。其中验收专家的人数参照了</w:t>
      </w:r>
      <w:r w:rsidR="00777C2A">
        <w:rPr>
          <w:rFonts w:ascii="Segoe UI" w:hAnsi="Segoe UI" w:cs="Segoe UI"/>
          <w:color w:val="0F1115"/>
          <w:shd w:val="clear" w:color="auto" w:fill="FFFFFF"/>
        </w:rPr>
        <w:t>“</w:t>
      </w:r>
      <w:r w:rsidR="00777C2A">
        <w:rPr>
          <w:rFonts w:ascii="Segoe UI" w:hAnsi="Segoe UI" w:cs="Segoe UI"/>
          <w:color w:val="0F1115"/>
          <w:shd w:val="clear" w:color="auto" w:fill="FFFFFF"/>
        </w:rPr>
        <w:t>河南省国土资源厅关于进一步加强地质勘查项目管理工作的通</w:t>
      </w:r>
      <w:r w:rsidR="00777C2A">
        <w:rPr>
          <w:rFonts w:cs="Times New Roman"/>
          <w:color w:val="0F1115"/>
          <w:shd w:val="clear" w:color="auto" w:fill="FFFFFF"/>
        </w:rPr>
        <w:t>知</w:t>
      </w:r>
      <w:r w:rsidR="00777C2A">
        <w:rPr>
          <w:rFonts w:cs="Times New Roman"/>
          <w:color w:val="0F1115"/>
          <w:shd w:val="clear" w:color="auto" w:fill="FFFFFF"/>
        </w:rPr>
        <w:t>”</w:t>
      </w:r>
      <w:r w:rsidR="00777C2A">
        <w:rPr>
          <w:rFonts w:cs="Times New Roman"/>
          <w:color w:val="0F1115"/>
          <w:shd w:val="clear" w:color="auto" w:fill="FFFFFF"/>
        </w:rPr>
        <w:t>（豫自然资规〔</w:t>
      </w:r>
      <w:r w:rsidR="00777C2A">
        <w:rPr>
          <w:rFonts w:cs="Times New Roman"/>
          <w:color w:val="0F1115"/>
          <w:shd w:val="clear" w:color="auto" w:fill="FFFFFF"/>
        </w:rPr>
        <w:t>2025</w:t>
      </w:r>
      <w:r w:rsidR="00777C2A">
        <w:rPr>
          <w:rFonts w:cs="Times New Roman"/>
          <w:color w:val="0F1115"/>
          <w:shd w:val="clear" w:color="auto" w:fill="FFFFFF"/>
        </w:rPr>
        <w:t>〕</w:t>
      </w:r>
      <w:r w:rsidR="00777C2A">
        <w:rPr>
          <w:rFonts w:cs="Times New Roman"/>
          <w:color w:val="0F1115"/>
          <w:shd w:val="clear" w:color="auto" w:fill="FFFFFF"/>
        </w:rPr>
        <w:t>11</w:t>
      </w:r>
      <w:r w:rsidR="00777C2A">
        <w:rPr>
          <w:rFonts w:cs="Times New Roman"/>
          <w:color w:val="0F1115"/>
          <w:shd w:val="clear" w:color="auto" w:fill="FFFFFF"/>
        </w:rPr>
        <w:t>号）中第四章第四十四条：</w:t>
      </w:r>
      <w:r w:rsidR="00777C2A">
        <w:rPr>
          <w:rFonts w:cs="Times New Roman"/>
          <w:color w:val="0F1115"/>
          <w:shd w:val="clear" w:color="auto" w:fill="FFFFFF"/>
        </w:rPr>
        <w:t>“</w:t>
      </w:r>
      <w:r w:rsidR="00777C2A">
        <w:rPr>
          <w:rFonts w:cs="Times New Roman"/>
          <w:color w:val="0F1115"/>
          <w:shd w:val="clear" w:color="auto" w:fill="FFFFFF"/>
        </w:rPr>
        <w:t>野外验收专家组由</w:t>
      </w:r>
      <w:r w:rsidR="00777C2A">
        <w:rPr>
          <w:rFonts w:cs="Times New Roman"/>
          <w:color w:val="0F1115"/>
          <w:shd w:val="clear" w:color="auto" w:fill="FFFFFF"/>
        </w:rPr>
        <w:t>3~5</w:t>
      </w:r>
      <w:r w:rsidR="00777C2A">
        <w:rPr>
          <w:rFonts w:cs="Times New Roman"/>
          <w:color w:val="0F1115"/>
          <w:shd w:val="clear" w:color="auto" w:fill="FFFFFF"/>
        </w:rPr>
        <w:t>名专家组成，专业领域涵盖项目主要工作手段</w:t>
      </w:r>
      <w:r w:rsidR="00777C2A">
        <w:rPr>
          <w:rFonts w:cs="Times New Roman"/>
          <w:color w:val="0F1115"/>
          <w:shd w:val="clear" w:color="auto" w:fill="FFFFFF"/>
        </w:rPr>
        <w:t>”</w:t>
      </w:r>
      <w:r w:rsidR="00777C2A">
        <w:rPr>
          <w:rFonts w:cs="Times New Roman"/>
          <w:color w:val="0F1115"/>
          <w:shd w:val="clear" w:color="auto" w:fill="FFFFFF"/>
        </w:rPr>
        <w:t>。</w:t>
      </w:r>
    </w:p>
    <w:p w14:paraId="5EA25053" w14:textId="2F4C9B66" w:rsidR="00431352" w:rsidRDefault="00F662A9">
      <w:pPr>
        <w:ind w:firstLine="560"/>
        <w:rPr>
          <w:rFonts w:cs="Times New Roman"/>
          <w:color w:val="0F1115"/>
          <w:shd w:val="clear" w:color="auto" w:fill="FFFFFF"/>
        </w:rPr>
      </w:pPr>
      <w:r>
        <w:rPr>
          <w:rFonts w:cs="Times New Roman" w:hint="eastAsia"/>
          <w:color w:val="0F1115"/>
          <w:shd w:val="clear" w:color="auto" w:fill="FFFFFF"/>
        </w:rPr>
        <w:t>5</w:t>
      </w:r>
      <w:r w:rsidR="00777C2A">
        <w:rPr>
          <w:rFonts w:cs="Times New Roman"/>
          <w:color w:val="0F1115"/>
          <w:shd w:val="clear" w:color="auto" w:fill="FFFFFF"/>
        </w:rPr>
        <w:t xml:space="preserve">. </w:t>
      </w:r>
      <w:r w:rsidR="00777C2A">
        <w:rPr>
          <w:rFonts w:cs="Times New Roman"/>
        </w:rPr>
        <w:t>第</w:t>
      </w:r>
      <w:r w:rsidR="00E406A0">
        <w:rPr>
          <w:rFonts w:cs="Times New Roman"/>
        </w:rPr>
        <w:t>7</w:t>
      </w:r>
      <w:r w:rsidR="00777C2A">
        <w:rPr>
          <w:rFonts w:cs="Times New Roman"/>
        </w:rPr>
        <w:t>章</w:t>
      </w:r>
      <w:r w:rsidR="00777C2A">
        <w:rPr>
          <w:rFonts w:cs="Times New Roman"/>
        </w:rPr>
        <w:t>“</w:t>
      </w:r>
      <w:r w:rsidR="00777C2A">
        <w:rPr>
          <w:rFonts w:cs="Times New Roman"/>
        </w:rPr>
        <w:t>验收</w:t>
      </w:r>
      <w:r w:rsidR="00777C2A">
        <w:rPr>
          <w:rFonts w:cs="Times New Roman" w:hint="eastAsia"/>
        </w:rPr>
        <w:t>程序</w:t>
      </w:r>
      <w:r w:rsidR="00777C2A">
        <w:rPr>
          <w:rFonts w:cs="Times New Roman"/>
        </w:rPr>
        <w:t xml:space="preserve">” </w:t>
      </w:r>
      <w:r w:rsidR="00777C2A">
        <w:rPr>
          <w:rFonts w:cs="Times New Roman"/>
        </w:rPr>
        <w:t>：</w:t>
      </w:r>
      <w:r w:rsidR="00777C2A">
        <w:rPr>
          <w:rFonts w:cs="Times New Roman" w:hint="eastAsia"/>
        </w:rPr>
        <w:t>明确</w:t>
      </w:r>
      <w:r w:rsidR="00777C2A">
        <w:rPr>
          <w:rFonts w:ascii="Segoe UI" w:hAnsi="Segoe UI" w:cs="Segoe UI"/>
          <w:color w:val="0F1115"/>
          <w:shd w:val="clear" w:color="auto" w:fill="FFFFFF"/>
        </w:rPr>
        <w:t>野外验收的具体工作程序与标准，确保验收过程系统、严谨、可操作，并依据验收结果对项目质量进行</w:t>
      </w:r>
      <w:r w:rsidR="00777C2A">
        <w:rPr>
          <w:rFonts w:cs="Times New Roman"/>
          <w:color w:val="0F1115"/>
          <w:shd w:val="clear" w:color="auto" w:fill="FFFFFF"/>
        </w:rPr>
        <w:t>客观评定与后续处理。其中野外验收时抽查的资料比例要求参照了《固体矿产勘查原始地质编录规程》（</w:t>
      </w:r>
      <w:r w:rsidR="00777C2A">
        <w:rPr>
          <w:rFonts w:cs="Times New Roman"/>
          <w:color w:val="0F1115"/>
          <w:shd w:val="clear" w:color="auto" w:fill="FFFFFF"/>
        </w:rPr>
        <w:t>GB/T 0078-2015</w:t>
      </w:r>
      <w:r w:rsidR="00777C2A">
        <w:rPr>
          <w:rFonts w:cs="Times New Roman"/>
          <w:color w:val="0F1115"/>
          <w:shd w:val="clear" w:color="auto" w:fill="FFFFFF"/>
        </w:rPr>
        <w:t>）中表</w:t>
      </w:r>
      <w:r w:rsidR="00777C2A">
        <w:rPr>
          <w:rFonts w:cs="Times New Roman"/>
          <w:color w:val="0F1115"/>
          <w:shd w:val="clear" w:color="auto" w:fill="FFFFFF"/>
        </w:rPr>
        <w:t>23</w:t>
      </w:r>
      <w:r w:rsidR="00777C2A">
        <w:rPr>
          <w:rFonts w:cs="Times New Roman"/>
          <w:color w:val="0F1115"/>
          <w:shd w:val="clear" w:color="auto" w:fill="FFFFFF"/>
        </w:rPr>
        <w:t>给出</w:t>
      </w:r>
      <w:r w:rsidR="00777C2A">
        <w:rPr>
          <w:rFonts w:cs="Times New Roman"/>
          <w:color w:val="0F1115"/>
          <w:shd w:val="clear" w:color="auto" w:fill="FFFFFF"/>
        </w:rPr>
        <w:lastRenderedPageBreak/>
        <w:t>了一个各级检查关于野外实地和室内资料检查的比例要求。</w:t>
      </w:r>
    </w:p>
    <w:p w14:paraId="13F07485" w14:textId="559AB9DB" w:rsidR="00431352" w:rsidRDefault="00F662A9">
      <w:pPr>
        <w:ind w:firstLine="560"/>
      </w:pPr>
      <w:r>
        <w:rPr>
          <w:rFonts w:cs="Times New Roman" w:hint="eastAsia"/>
          <w:color w:val="0F1115"/>
          <w:shd w:val="clear" w:color="auto" w:fill="FFFFFF"/>
        </w:rPr>
        <w:t>6</w:t>
      </w:r>
      <w:r w:rsidR="00777C2A">
        <w:rPr>
          <w:rFonts w:cs="Times New Roman"/>
          <w:color w:val="0F1115"/>
          <w:shd w:val="clear" w:color="auto" w:fill="FFFFFF"/>
        </w:rPr>
        <w:t xml:space="preserve">. </w:t>
      </w:r>
      <w:r w:rsidR="00777C2A">
        <w:rPr>
          <w:rFonts w:cs="Times New Roman" w:hint="eastAsia"/>
          <w:color w:val="0F1115"/>
          <w:shd w:val="clear" w:color="auto" w:fill="FFFFFF"/>
        </w:rPr>
        <w:t>附录</w:t>
      </w:r>
      <w:r w:rsidR="00777C2A">
        <w:rPr>
          <w:rFonts w:cs="Times New Roman" w:hint="eastAsia"/>
          <w:color w:val="0F1115"/>
          <w:shd w:val="clear" w:color="auto" w:fill="FFFFFF"/>
        </w:rPr>
        <w:t>A</w:t>
      </w:r>
      <w:r w:rsidR="00777C2A">
        <w:rPr>
          <w:rFonts w:cs="Times New Roman" w:hint="eastAsia"/>
          <w:color w:val="0F1115"/>
          <w:shd w:val="clear" w:color="auto" w:fill="FFFFFF"/>
        </w:rPr>
        <w:t>“</w:t>
      </w:r>
      <w:r w:rsidR="00777C2A">
        <w:rPr>
          <w:rFonts w:hint="eastAsia"/>
        </w:rPr>
        <w:t>固体矿产地质勘查项目野外工作总结编写提纲</w:t>
      </w:r>
      <w:r w:rsidR="00777C2A">
        <w:rPr>
          <w:rFonts w:cs="Times New Roman" w:hint="eastAsia"/>
          <w:color w:val="0F1115"/>
          <w:shd w:val="clear" w:color="auto" w:fill="FFFFFF"/>
        </w:rPr>
        <w:t>”给出了编写野外工作总结时的具体内容，包括项目基本情况、项目完成情况、项目质量管理情况、工作质量评述、取得主要工作成果、存在问题及下部工作安排、结论共</w:t>
      </w:r>
      <w:r w:rsidR="00777C2A">
        <w:rPr>
          <w:rFonts w:cs="Times New Roman" w:hint="eastAsia"/>
          <w:color w:val="0F1115"/>
          <w:shd w:val="clear" w:color="auto" w:fill="FFFFFF"/>
        </w:rPr>
        <w:t>7</w:t>
      </w:r>
      <w:r w:rsidR="00777C2A">
        <w:rPr>
          <w:rFonts w:cs="Times New Roman" w:hint="eastAsia"/>
          <w:color w:val="0F1115"/>
          <w:shd w:val="clear" w:color="auto" w:fill="FFFFFF"/>
        </w:rPr>
        <w:t>个方面的内容。附录</w:t>
      </w:r>
      <w:r w:rsidR="00777C2A">
        <w:rPr>
          <w:rFonts w:cs="Times New Roman"/>
          <w:color w:val="0F1115"/>
          <w:shd w:val="clear" w:color="auto" w:fill="FFFFFF"/>
        </w:rPr>
        <w:t>B</w:t>
      </w:r>
      <w:r w:rsidR="00777C2A">
        <w:rPr>
          <w:rFonts w:cs="Times New Roman" w:hint="eastAsia"/>
          <w:color w:val="0F1115"/>
          <w:shd w:val="clear" w:color="auto" w:fill="FFFFFF"/>
        </w:rPr>
        <w:t>“</w:t>
      </w:r>
      <w:r w:rsidR="00777C2A">
        <w:rPr>
          <w:rFonts w:hint="eastAsia"/>
        </w:rPr>
        <w:t>固体矿产地质勘查项目野外验收评分表</w:t>
      </w:r>
      <w:r w:rsidR="00777C2A">
        <w:rPr>
          <w:rFonts w:cs="Times New Roman" w:hint="eastAsia"/>
          <w:color w:val="0F1115"/>
          <w:shd w:val="clear" w:color="auto" w:fill="FFFFFF"/>
        </w:rPr>
        <w:t>”给出了评分标准。附录</w:t>
      </w:r>
      <w:r w:rsidR="00777C2A">
        <w:rPr>
          <w:rFonts w:cs="Times New Roman"/>
          <w:color w:val="0F1115"/>
          <w:shd w:val="clear" w:color="auto" w:fill="FFFFFF"/>
        </w:rPr>
        <w:t>C</w:t>
      </w:r>
      <w:r w:rsidR="00777C2A">
        <w:rPr>
          <w:rFonts w:cs="Times New Roman" w:hint="eastAsia"/>
          <w:color w:val="0F1115"/>
          <w:shd w:val="clear" w:color="auto" w:fill="FFFFFF"/>
        </w:rPr>
        <w:t>“</w:t>
      </w:r>
      <w:r w:rsidR="00777C2A">
        <w:rPr>
          <w:rFonts w:hint="eastAsia"/>
        </w:rPr>
        <w:t>固体矿产地质勘查项目野外验收意见书格式</w:t>
      </w:r>
      <w:r w:rsidR="00777C2A">
        <w:rPr>
          <w:rFonts w:cs="Times New Roman" w:hint="eastAsia"/>
          <w:color w:val="0F1115"/>
          <w:shd w:val="clear" w:color="auto" w:fill="FFFFFF"/>
        </w:rPr>
        <w:t>”明确了野外验收意见书的具体格式。</w:t>
      </w:r>
    </w:p>
    <w:p w14:paraId="0AB2C92B" w14:textId="77777777" w:rsidR="00431352" w:rsidRDefault="00777C2A">
      <w:pPr>
        <w:pStyle w:val="2"/>
        <w:ind w:firstLine="562"/>
      </w:pPr>
      <w:bookmarkStart w:id="13" w:name="_Toc231303963"/>
      <w:r>
        <w:rPr>
          <w:rFonts w:hint="eastAsia"/>
        </w:rPr>
        <w:t>五、采标情况</w:t>
      </w:r>
      <w:bookmarkEnd w:id="13"/>
    </w:p>
    <w:p w14:paraId="07DC289A" w14:textId="77777777" w:rsidR="00431352" w:rsidRDefault="00777C2A">
      <w:pPr>
        <w:ind w:firstLine="560"/>
      </w:pPr>
      <w:r>
        <w:rPr>
          <w:rFonts w:hint="eastAsia"/>
        </w:rPr>
        <w:t>本标准未采用国际标准和国外先进标准。</w:t>
      </w:r>
    </w:p>
    <w:p w14:paraId="240E5558" w14:textId="77777777" w:rsidR="00431352" w:rsidRDefault="00777C2A">
      <w:pPr>
        <w:pStyle w:val="2"/>
        <w:ind w:firstLine="562"/>
      </w:pPr>
      <w:bookmarkStart w:id="14" w:name="_Toc231303964"/>
      <w:r>
        <w:rPr>
          <w:rFonts w:hint="eastAsia"/>
        </w:rPr>
        <w:t>六、重大意见分歧的处理</w:t>
      </w:r>
      <w:bookmarkEnd w:id="14"/>
    </w:p>
    <w:p w14:paraId="54ECC9B0" w14:textId="77777777" w:rsidR="00431352" w:rsidRDefault="00777C2A">
      <w:pPr>
        <w:pStyle w:val="afa"/>
        <w:ind w:firstLine="560"/>
      </w:pPr>
      <w:r>
        <w:rPr>
          <w:rFonts w:hint="eastAsia"/>
        </w:rPr>
        <w:t>本文件编制及讨论过程中，未出现重大意见分歧。</w:t>
      </w:r>
    </w:p>
    <w:p w14:paraId="1B025209" w14:textId="77777777" w:rsidR="00431352" w:rsidRDefault="00777C2A">
      <w:pPr>
        <w:pStyle w:val="2"/>
        <w:ind w:firstLine="562"/>
      </w:pPr>
      <w:bookmarkStart w:id="15" w:name="_Toc231303965"/>
      <w:r>
        <w:rPr>
          <w:rFonts w:hint="eastAsia"/>
        </w:rPr>
        <w:t>七、与国家法律法规和强制性标准的关系</w:t>
      </w:r>
      <w:bookmarkEnd w:id="15"/>
    </w:p>
    <w:p w14:paraId="4311E8BA" w14:textId="77777777" w:rsidR="00431352" w:rsidRPr="00E406A0" w:rsidRDefault="00777C2A">
      <w:pPr>
        <w:pStyle w:val="afa"/>
        <w:ind w:firstLine="560"/>
        <w:rPr>
          <w:rFonts w:cs="Times New Roman"/>
          <w:color w:val="0F1115"/>
          <w:shd w:val="clear" w:color="auto" w:fill="FFFFFF"/>
        </w:rPr>
      </w:pPr>
      <w:r w:rsidRPr="00E406A0">
        <w:rPr>
          <w:rFonts w:cs="Times New Roman"/>
          <w:color w:val="0F1115"/>
          <w:shd w:val="clear" w:color="auto" w:fill="FFFFFF"/>
        </w:rPr>
        <w:t>本文件遵守《中华人民共和国标准化法》《团体标准管理规定》《河南省标准化管理办法》等相关法律规章。按照</w:t>
      </w:r>
      <w:r w:rsidRPr="00E406A0">
        <w:rPr>
          <w:rFonts w:cs="Times New Roman"/>
          <w:color w:val="0F1115"/>
          <w:shd w:val="clear" w:color="auto" w:fill="FFFFFF"/>
        </w:rPr>
        <w:t xml:space="preserve"> GB/T 1.1-2020</w:t>
      </w:r>
      <w:r w:rsidRPr="00E406A0">
        <w:rPr>
          <w:rFonts w:cs="Times New Roman"/>
          <w:color w:val="0F1115"/>
          <w:shd w:val="clear" w:color="auto" w:fill="FFFFFF"/>
        </w:rPr>
        <w:t>《标准化工作导则第</w:t>
      </w:r>
      <w:r w:rsidRPr="00E406A0">
        <w:rPr>
          <w:rFonts w:cs="Times New Roman"/>
          <w:color w:val="0F1115"/>
          <w:shd w:val="clear" w:color="auto" w:fill="FFFFFF"/>
        </w:rPr>
        <w:t>1</w:t>
      </w:r>
      <w:r w:rsidRPr="00E406A0">
        <w:rPr>
          <w:rFonts w:cs="Times New Roman"/>
          <w:color w:val="0F1115"/>
          <w:shd w:val="clear" w:color="auto" w:fill="FFFFFF"/>
        </w:rPr>
        <w:t>部分：标准化文件的</w:t>
      </w:r>
      <w:r w:rsidRPr="00E406A0">
        <w:rPr>
          <w:rFonts w:cs="Times New Roman"/>
          <w:color w:val="0F1115"/>
          <w:shd w:val="clear" w:color="auto" w:fill="FFFFFF"/>
        </w:rPr>
        <w:t xml:space="preserve"> </w:t>
      </w:r>
      <w:r w:rsidRPr="00E406A0">
        <w:rPr>
          <w:rFonts w:cs="Times New Roman"/>
          <w:color w:val="0F1115"/>
          <w:shd w:val="clear" w:color="auto" w:fill="FFFFFF"/>
        </w:rPr>
        <w:t>结构和起草规则》的规定编制及排版。</w:t>
      </w:r>
    </w:p>
    <w:p w14:paraId="211A1006" w14:textId="77777777" w:rsidR="00431352" w:rsidRDefault="00777C2A">
      <w:pPr>
        <w:pStyle w:val="2"/>
        <w:ind w:firstLine="562"/>
      </w:pPr>
      <w:bookmarkStart w:id="16" w:name="_Toc231303966"/>
      <w:r>
        <w:rPr>
          <w:rFonts w:hint="eastAsia"/>
        </w:rPr>
        <w:t>八、标准实施的建议</w:t>
      </w:r>
      <w:bookmarkEnd w:id="16"/>
    </w:p>
    <w:p w14:paraId="7FE57198" w14:textId="3A1CC28F" w:rsidR="00431352" w:rsidRDefault="00777C2A">
      <w:pPr>
        <w:ind w:firstLine="560"/>
      </w:pPr>
      <w:r>
        <w:t>建议本标准作为河南省范围内</w:t>
      </w:r>
      <w:r>
        <w:rPr>
          <w:rFonts w:hint="eastAsia"/>
        </w:rPr>
        <w:t>固体矿产地质勘查项目野外验收的指导性文件</w:t>
      </w:r>
      <w:r>
        <w:t>。编制过程中，在尊重现行国家法律法规和强制性标准的同时，更切合我省的实际情况，批准发布后应结合</w:t>
      </w:r>
      <w:r>
        <w:rPr>
          <w:rFonts w:hint="eastAsia"/>
        </w:rPr>
        <w:t>项目</w:t>
      </w:r>
      <w:r>
        <w:t>实际情况具体分析、合理采用。</w:t>
      </w:r>
      <w:r>
        <w:t xml:space="preserve"> </w:t>
      </w:r>
      <w:bookmarkStart w:id="17" w:name="_GoBack"/>
      <w:bookmarkEnd w:id="17"/>
    </w:p>
    <w:p w14:paraId="2043D5FF" w14:textId="77777777" w:rsidR="00431352" w:rsidRDefault="00777C2A">
      <w:pPr>
        <w:ind w:firstLine="560"/>
      </w:pPr>
      <w:r>
        <w:t>标准发布实施后，编制单位将立即通过专题会议、技术讲座、现</w:t>
      </w:r>
      <w:r>
        <w:lastRenderedPageBreak/>
        <w:t>场指导等多种方式针对标准进行培训和贯标，以便省内矿业单位尽早采用该技术规范，使本规范尽早发挥其指导性作用，服务于河南省</w:t>
      </w:r>
      <w:r>
        <w:rPr>
          <w:rFonts w:hint="eastAsia"/>
        </w:rPr>
        <w:t>固体矿产地质勘查野外验收工作。</w:t>
      </w:r>
      <w:r>
        <w:t>同时</w:t>
      </w:r>
      <w:r>
        <w:t xml:space="preserve"> </w:t>
      </w:r>
      <w:r>
        <w:t>建议在实施标准过程中对所发现的问题及时反馈，以利于标</w:t>
      </w:r>
      <w:r>
        <w:t xml:space="preserve"> </w:t>
      </w:r>
      <w:r>
        <w:t>准后期的修订和完善。</w:t>
      </w:r>
    </w:p>
    <w:p w14:paraId="65756230" w14:textId="77777777" w:rsidR="00431352" w:rsidRDefault="00777C2A">
      <w:pPr>
        <w:pStyle w:val="2"/>
        <w:ind w:firstLine="562"/>
      </w:pPr>
      <w:bookmarkStart w:id="18" w:name="_Toc231303967"/>
      <w:r>
        <w:rPr>
          <w:rFonts w:hint="eastAsia"/>
        </w:rPr>
        <w:t>九、其他应予说明的事项</w:t>
      </w:r>
      <w:bookmarkEnd w:id="18"/>
    </w:p>
    <w:p w14:paraId="6344C15F" w14:textId="77777777" w:rsidR="00431352" w:rsidRDefault="00777C2A">
      <w:pPr>
        <w:ind w:firstLine="560"/>
      </w:pPr>
      <w:r>
        <w:rPr>
          <w:rFonts w:hint="eastAsia"/>
          <w:color w:val="000000" w:themeColor="text1"/>
        </w:rPr>
        <w:t xml:space="preserve"> </w:t>
      </w:r>
      <w:r>
        <w:t>无其他说明事项。</w:t>
      </w:r>
    </w:p>
    <w:p w14:paraId="5FBB55F7" w14:textId="77777777" w:rsidR="00431352" w:rsidRDefault="00431352">
      <w:pPr>
        <w:ind w:firstLine="560"/>
      </w:pPr>
    </w:p>
    <w:p w14:paraId="30DDD99F" w14:textId="77777777" w:rsidR="00431352" w:rsidRDefault="00431352">
      <w:pPr>
        <w:ind w:firstLine="560"/>
      </w:pPr>
    </w:p>
    <w:p w14:paraId="49F26A06" w14:textId="77777777" w:rsidR="00431352" w:rsidRDefault="00431352">
      <w:pPr>
        <w:ind w:firstLine="560"/>
      </w:pPr>
    </w:p>
    <w:p w14:paraId="73DA4A08" w14:textId="77777777" w:rsidR="00431352" w:rsidRDefault="00431352">
      <w:pPr>
        <w:ind w:firstLine="560"/>
      </w:pPr>
    </w:p>
    <w:p w14:paraId="18571DA7" w14:textId="77777777" w:rsidR="00431352" w:rsidRDefault="00431352">
      <w:pPr>
        <w:ind w:firstLine="560"/>
      </w:pPr>
    </w:p>
    <w:p w14:paraId="6119562C" w14:textId="77777777" w:rsidR="00431352" w:rsidRDefault="00777C2A">
      <w:pPr>
        <w:ind w:firstLineChars="571" w:firstLine="1599"/>
      </w:pPr>
      <w:r>
        <w:rPr>
          <w:rFonts w:hint="eastAsia"/>
        </w:rPr>
        <w:t>《固体矿产地质勘查项目野外验收规程》标准起草小组</w:t>
      </w:r>
    </w:p>
    <w:p w14:paraId="240BD344" w14:textId="77777777" w:rsidR="00431352" w:rsidRDefault="00777C2A">
      <w:pPr>
        <w:ind w:firstLineChars="571" w:firstLine="1599"/>
        <w:rPr>
          <w:color w:val="000000" w:themeColor="text1"/>
        </w:rPr>
      </w:pPr>
      <w:r>
        <w:rPr>
          <w:rFonts w:hint="eastAsia"/>
        </w:rPr>
        <w:t xml:space="preserve"> </w:t>
      </w:r>
      <w:r>
        <w:t xml:space="preserve">                    2026</w:t>
      </w:r>
      <w:r>
        <w:rPr>
          <w:rFonts w:hint="eastAsia"/>
        </w:rPr>
        <w:t>年</w:t>
      </w:r>
      <w:r>
        <w:rPr>
          <w:rFonts w:hint="eastAsia"/>
        </w:rPr>
        <w:t>6</w:t>
      </w:r>
      <w:r>
        <w:rPr>
          <w:rFonts w:hint="eastAsia"/>
        </w:rPr>
        <w:t>月</w:t>
      </w:r>
      <w:r>
        <w:rPr>
          <w:rFonts w:hint="eastAsia"/>
        </w:rPr>
        <w:t>2</w:t>
      </w:r>
      <w:r>
        <w:rPr>
          <w:rFonts w:hint="eastAsia"/>
        </w:rPr>
        <w:t>日</w:t>
      </w:r>
    </w:p>
    <w:sectPr w:rsidR="00431352">
      <w:head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F75FB" w14:textId="77777777" w:rsidR="003E42E0" w:rsidRDefault="003E42E0">
      <w:pPr>
        <w:spacing w:line="240" w:lineRule="auto"/>
        <w:ind w:firstLine="560"/>
      </w:pPr>
      <w:r>
        <w:separator/>
      </w:r>
    </w:p>
  </w:endnote>
  <w:endnote w:type="continuationSeparator" w:id="0">
    <w:p w14:paraId="08EB5AD5" w14:textId="77777777" w:rsidR="003E42E0" w:rsidRDefault="003E42E0">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BF6F" w14:textId="77777777" w:rsidR="00431352" w:rsidRDefault="00431352">
    <w:pPr>
      <w:pStyle w:val="af4"/>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FEA8" w14:textId="77777777" w:rsidR="00431352" w:rsidRDefault="00431352">
    <w:pPr>
      <w:pStyle w:val="af4"/>
      <w:ind w:firstLine="360"/>
      <w:jc w:val="center"/>
    </w:pPr>
  </w:p>
  <w:p w14:paraId="35A229E1" w14:textId="77777777" w:rsidR="00431352" w:rsidRDefault="00431352">
    <w:pPr>
      <w:pStyle w:val="af4"/>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E870" w14:textId="77777777" w:rsidR="00431352" w:rsidRDefault="00431352">
    <w:pPr>
      <w:pStyle w:val="af4"/>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635722"/>
    </w:sdtPr>
    <w:sdtEndPr/>
    <w:sdtContent>
      <w:p w14:paraId="642231E4" w14:textId="7FE29B2F" w:rsidR="00431352" w:rsidRDefault="00777C2A">
        <w:pPr>
          <w:pStyle w:val="af4"/>
          <w:ind w:firstLine="360"/>
          <w:jc w:val="center"/>
        </w:pPr>
        <w:r>
          <w:fldChar w:fldCharType="begin"/>
        </w:r>
        <w:r>
          <w:instrText>PAGE   \* MERGEFORMAT</w:instrText>
        </w:r>
        <w:r>
          <w:fldChar w:fldCharType="separate"/>
        </w:r>
        <w:r w:rsidR="009977F5" w:rsidRPr="009977F5">
          <w:rPr>
            <w:noProof/>
            <w:lang w:val="zh-CN"/>
          </w:rPr>
          <w:t>9</w:t>
        </w:r>
        <w:r>
          <w:fldChar w:fldCharType="end"/>
        </w:r>
      </w:p>
    </w:sdtContent>
  </w:sdt>
  <w:p w14:paraId="0EE0D99D" w14:textId="77777777" w:rsidR="00431352" w:rsidRDefault="00431352">
    <w:pPr>
      <w:pStyle w:val="af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5A7A2" w14:textId="77777777" w:rsidR="003E42E0" w:rsidRDefault="003E42E0">
      <w:pPr>
        <w:spacing w:line="240" w:lineRule="auto"/>
        <w:ind w:firstLine="560"/>
      </w:pPr>
      <w:r>
        <w:separator/>
      </w:r>
    </w:p>
  </w:footnote>
  <w:footnote w:type="continuationSeparator" w:id="0">
    <w:p w14:paraId="1FF247B7" w14:textId="77777777" w:rsidR="003E42E0" w:rsidRDefault="003E42E0">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A7F21" w14:textId="77777777" w:rsidR="00431352" w:rsidRDefault="00431352">
    <w:pPr>
      <w:pStyle w:val="af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C6E3D" w14:textId="77777777" w:rsidR="00431352" w:rsidRDefault="00431352">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16006" w14:textId="77777777" w:rsidR="00431352" w:rsidRDefault="00431352">
    <w:pPr>
      <w:pStyle w:val="af6"/>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0FC2" w14:textId="77777777" w:rsidR="00431352" w:rsidRDefault="00431352">
    <w:pPr>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1702"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426"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CEA2025"/>
    <w:multiLevelType w:val="multilevel"/>
    <w:tmpl w:val="6CEA2025"/>
    <w:lvl w:ilvl="0">
      <w:start w:val="1"/>
      <w:numFmt w:val="none"/>
      <w:pStyle w:val="a5"/>
      <w:suff w:val="nothing"/>
      <w:lvlText w:val="%1"/>
      <w:lvlJc w:val="left"/>
      <w:pPr>
        <w:ind w:left="0" w:firstLine="0"/>
      </w:pPr>
      <w:rPr>
        <w:rFonts w:hint="eastAsia"/>
      </w:rPr>
    </w:lvl>
    <w:lvl w:ilvl="1">
      <w:start w:val="1"/>
      <w:numFmt w:val="decimal"/>
      <w:pStyle w:val="a6"/>
      <w:suff w:val="nothing"/>
      <w:lvlText w:val="%1%2　"/>
      <w:lvlJc w:val="left"/>
      <w:pPr>
        <w:ind w:left="568" w:firstLine="0"/>
      </w:pPr>
      <w:rPr>
        <w:rFonts w:ascii="黑体" w:eastAsia="黑体" w:hint="eastAsia"/>
        <w:b w:val="0"/>
        <w:i w:val="0"/>
        <w:sz w:val="21"/>
      </w:rPr>
    </w:lvl>
    <w:lvl w:ilvl="2">
      <w:start w:val="1"/>
      <w:numFmt w:val="decimal"/>
      <w:pStyle w:val="a7"/>
      <w:suff w:val="nothing"/>
      <w:lvlText w:val="%1%2.%3　"/>
      <w:lvlJc w:val="left"/>
      <w:pPr>
        <w:ind w:left="6947"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8"/>
      <w:suff w:val="nothing"/>
      <w:lvlText w:val="%1%2.%3.%4　"/>
      <w:lvlJc w:val="left"/>
      <w:pPr>
        <w:ind w:left="0" w:firstLine="0"/>
      </w:pPr>
      <w:rPr>
        <w:rFonts w:ascii="黑体" w:eastAsia="黑体" w:hint="eastAsia"/>
        <w:b w:val="0"/>
        <w:i w:val="0"/>
        <w:sz w:val="21"/>
      </w:rPr>
    </w:lvl>
    <w:lvl w:ilvl="4">
      <w:start w:val="1"/>
      <w:numFmt w:val="decimal"/>
      <w:pStyle w:val="a9"/>
      <w:suff w:val="nothing"/>
      <w:lvlText w:val="%1%2.%3.%4.%5　"/>
      <w:lvlJc w:val="left"/>
      <w:pPr>
        <w:ind w:left="0" w:firstLine="0"/>
      </w:pPr>
      <w:rPr>
        <w:rFonts w:ascii="黑体" w:eastAsia="黑体" w:hint="eastAsia"/>
        <w:b w:val="0"/>
        <w:i w:val="0"/>
        <w:sz w:val="21"/>
      </w:rPr>
    </w:lvl>
    <w:lvl w:ilvl="5">
      <w:start w:val="1"/>
      <w:numFmt w:val="decimal"/>
      <w:pStyle w:val="aa"/>
      <w:suff w:val="nothing"/>
      <w:lvlText w:val="%1%2.%3.%4.%5.%6　"/>
      <w:lvlJc w:val="left"/>
      <w:pPr>
        <w:ind w:left="0" w:firstLine="0"/>
      </w:pPr>
      <w:rPr>
        <w:rFonts w:ascii="黑体" w:eastAsia="黑体" w:hint="eastAsia"/>
        <w:b w:val="0"/>
        <w:i w:val="0"/>
        <w:sz w:val="21"/>
      </w:rPr>
    </w:lvl>
    <w:lvl w:ilvl="6">
      <w:start w:val="1"/>
      <w:numFmt w:val="decimal"/>
      <w:pStyle w:val="a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37"/>
    <w:rsid w:val="000008AD"/>
    <w:rsid w:val="000067B3"/>
    <w:rsid w:val="00037297"/>
    <w:rsid w:val="00043D11"/>
    <w:rsid w:val="0009038B"/>
    <w:rsid w:val="000A21A1"/>
    <w:rsid w:val="000A2A0E"/>
    <w:rsid w:val="000A3C97"/>
    <w:rsid w:val="000C1392"/>
    <w:rsid w:val="000D1883"/>
    <w:rsid w:val="000D1A30"/>
    <w:rsid w:val="000D461C"/>
    <w:rsid w:val="000F4042"/>
    <w:rsid w:val="000F553C"/>
    <w:rsid w:val="00130210"/>
    <w:rsid w:val="00141EB0"/>
    <w:rsid w:val="0014381D"/>
    <w:rsid w:val="0016452F"/>
    <w:rsid w:val="00173C4D"/>
    <w:rsid w:val="00196689"/>
    <w:rsid w:val="00196CA1"/>
    <w:rsid w:val="001B7686"/>
    <w:rsid w:val="001C0FD5"/>
    <w:rsid w:val="001C6E92"/>
    <w:rsid w:val="001D1433"/>
    <w:rsid w:val="001D3F5D"/>
    <w:rsid w:val="001D7203"/>
    <w:rsid w:val="001E45A9"/>
    <w:rsid w:val="002155A0"/>
    <w:rsid w:val="00226086"/>
    <w:rsid w:val="002266DD"/>
    <w:rsid w:val="00235B68"/>
    <w:rsid w:val="00237548"/>
    <w:rsid w:val="0024379E"/>
    <w:rsid w:val="0025155E"/>
    <w:rsid w:val="0029435E"/>
    <w:rsid w:val="002952B3"/>
    <w:rsid w:val="002B4282"/>
    <w:rsid w:val="002D3336"/>
    <w:rsid w:val="002D6747"/>
    <w:rsid w:val="00304046"/>
    <w:rsid w:val="00320AD1"/>
    <w:rsid w:val="003568D4"/>
    <w:rsid w:val="003713ED"/>
    <w:rsid w:val="0038725F"/>
    <w:rsid w:val="003A16B6"/>
    <w:rsid w:val="003A5B01"/>
    <w:rsid w:val="003A6B8A"/>
    <w:rsid w:val="003B192B"/>
    <w:rsid w:val="003E19BC"/>
    <w:rsid w:val="003E42E0"/>
    <w:rsid w:val="00423C2E"/>
    <w:rsid w:val="00426D95"/>
    <w:rsid w:val="00431352"/>
    <w:rsid w:val="00440BEB"/>
    <w:rsid w:val="00451000"/>
    <w:rsid w:val="00456FBD"/>
    <w:rsid w:val="00461884"/>
    <w:rsid w:val="00464DE1"/>
    <w:rsid w:val="00467CF5"/>
    <w:rsid w:val="004722E5"/>
    <w:rsid w:val="004732D6"/>
    <w:rsid w:val="00473EDF"/>
    <w:rsid w:val="00480B2C"/>
    <w:rsid w:val="004877D9"/>
    <w:rsid w:val="00494270"/>
    <w:rsid w:val="004C4BDD"/>
    <w:rsid w:val="004D7BD8"/>
    <w:rsid w:val="004E3D15"/>
    <w:rsid w:val="00514169"/>
    <w:rsid w:val="005456E0"/>
    <w:rsid w:val="005477DB"/>
    <w:rsid w:val="00562602"/>
    <w:rsid w:val="00562C89"/>
    <w:rsid w:val="005644A5"/>
    <w:rsid w:val="00565202"/>
    <w:rsid w:val="00567303"/>
    <w:rsid w:val="00571DDA"/>
    <w:rsid w:val="0057345B"/>
    <w:rsid w:val="00587D37"/>
    <w:rsid w:val="005A5EA0"/>
    <w:rsid w:val="005B4E02"/>
    <w:rsid w:val="005F46B3"/>
    <w:rsid w:val="00604AD2"/>
    <w:rsid w:val="006823DC"/>
    <w:rsid w:val="00694035"/>
    <w:rsid w:val="006A2E08"/>
    <w:rsid w:val="006B30D6"/>
    <w:rsid w:val="006F618F"/>
    <w:rsid w:val="006F688E"/>
    <w:rsid w:val="00701A81"/>
    <w:rsid w:val="00702A20"/>
    <w:rsid w:val="0071283F"/>
    <w:rsid w:val="007147B7"/>
    <w:rsid w:val="00722B3A"/>
    <w:rsid w:val="007365F6"/>
    <w:rsid w:val="00764FC5"/>
    <w:rsid w:val="007750B9"/>
    <w:rsid w:val="00777C2A"/>
    <w:rsid w:val="007A5C7E"/>
    <w:rsid w:val="007C17E1"/>
    <w:rsid w:val="007E4239"/>
    <w:rsid w:val="007F3D82"/>
    <w:rsid w:val="00817D8F"/>
    <w:rsid w:val="00837812"/>
    <w:rsid w:val="0084341F"/>
    <w:rsid w:val="00847939"/>
    <w:rsid w:val="008600F2"/>
    <w:rsid w:val="00872013"/>
    <w:rsid w:val="00872DBD"/>
    <w:rsid w:val="008953C3"/>
    <w:rsid w:val="008E530F"/>
    <w:rsid w:val="008F1A47"/>
    <w:rsid w:val="008F696E"/>
    <w:rsid w:val="00930EC6"/>
    <w:rsid w:val="00940C2C"/>
    <w:rsid w:val="009516E4"/>
    <w:rsid w:val="0097143E"/>
    <w:rsid w:val="00985437"/>
    <w:rsid w:val="00992816"/>
    <w:rsid w:val="009977F5"/>
    <w:rsid w:val="009A1292"/>
    <w:rsid w:val="009B449D"/>
    <w:rsid w:val="00A14D5A"/>
    <w:rsid w:val="00A20EED"/>
    <w:rsid w:val="00A2261A"/>
    <w:rsid w:val="00A30F2E"/>
    <w:rsid w:val="00A339CE"/>
    <w:rsid w:val="00A40B0C"/>
    <w:rsid w:val="00A41015"/>
    <w:rsid w:val="00A56806"/>
    <w:rsid w:val="00AA4C56"/>
    <w:rsid w:val="00AC2EA6"/>
    <w:rsid w:val="00B045E6"/>
    <w:rsid w:val="00B13888"/>
    <w:rsid w:val="00B2311D"/>
    <w:rsid w:val="00B36EA4"/>
    <w:rsid w:val="00B57027"/>
    <w:rsid w:val="00B62441"/>
    <w:rsid w:val="00B64C27"/>
    <w:rsid w:val="00B723DB"/>
    <w:rsid w:val="00B72B40"/>
    <w:rsid w:val="00B829C3"/>
    <w:rsid w:val="00B97127"/>
    <w:rsid w:val="00BA2E71"/>
    <w:rsid w:val="00BB590F"/>
    <w:rsid w:val="00BE1D42"/>
    <w:rsid w:val="00BE5DEF"/>
    <w:rsid w:val="00BF25D7"/>
    <w:rsid w:val="00C07B66"/>
    <w:rsid w:val="00C10FC7"/>
    <w:rsid w:val="00C20E3C"/>
    <w:rsid w:val="00C9605B"/>
    <w:rsid w:val="00C9703C"/>
    <w:rsid w:val="00C97420"/>
    <w:rsid w:val="00CC52A3"/>
    <w:rsid w:val="00CF33EB"/>
    <w:rsid w:val="00D064D5"/>
    <w:rsid w:val="00D15A93"/>
    <w:rsid w:val="00D2146C"/>
    <w:rsid w:val="00D215F8"/>
    <w:rsid w:val="00D21F20"/>
    <w:rsid w:val="00D25D69"/>
    <w:rsid w:val="00D30364"/>
    <w:rsid w:val="00D3762C"/>
    <w:rsid w:val="00D4287A"/>
    <w:rsid w:val="00D6303E"/>
    <w:rsid w:val="00D677DD"/>
    <w:rsid w:val="00D67BD5"/>
    <w:rsid w:val="00DA15A6"/>
    <w:rsid w:val="00DA1A92"/>
    <w:rsid w:val="00DB272B"/>
    <w:rsid w:val="00DE0AB0"/>
    <w:rsid w:val="00E27739"/>
    <w:rsid w:val="00E37573"/>
    <w:rsid w:val="00E406A0"/>
    <w:rsid w:val="00E75CBB"/>
    <w:rsid w:val="00E83380"/>
    <w:rsid w:val="00E86ED2"/>
    <w:rsid w:val="00EB6CA4"/>
    <w:rsid w:val="00ED0883"/>
    <w:rsid w:val="00EE10C4"/>
    <w:rsid w:val="00EE3EAA"/>
    <w:rsid w:val="00EF07AF"/>
    <w:rsid w:val="00F040A9"/>
    <w:rsid w:val="00F073E1"/>
    <w:rsid w:val="00F10146"/>
    <w:rsid w:val="00F15C00"/>
    <w:rsid w:val="00F26FD1"/>
    <w:rsid w:val="00F34608"/>
    <w:rsid w:val="00F662A9"/>
    <w:rsid w:val="00FA0099"/>
    <w:rsid w:val="00FA28D5"/>
    <w:rsid w:val="00FB390C"/>
    <w:rsid w:val="00FB50FD"/>
    <w:rsid w:val="00FC6D6D"/>
    <w:rsid w:val="00FD2CA7"/>
    <w:rsid w:val="00FD4981"/>
    <w:rsid w:val="1B35550A"/>
    <w:rsid w:val="20010DF9"/>
    <w:rsid w:val="2B5B3958"/>
    <w:rsid w:val="343B712C"/>
    <w:rsid w:val="57EB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568E5"/>
  <w15:docId w15:val="{9B37A7C4-15DF-41C3-BAD8-FF1D3577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widowControl w:val="0"/>
      <w:spacing w:line="360" w:lineRule="auto"/>
      <w:ind w:firstLineChars="200" w:firstLine="200"/>
      <w:jc w:val="both"/>
    </w:pPr>
    <w:rPr>
      <w:rFonts w:ascii="Times New Roman" w:eastAsia="仿宋_GB2312" w:hAnsi="Times New Roman"/>
      <w:kern w:val="2"/>
      <w:sz w:val="28"/>
      <w:szCs w:val="22"/>
    </w:rPr>
  </w:style>
  <w:style w:type="paragraph" w:styleId="1">
    <w:name w:val="heading 1"/>
    <w:basedOn w:val="ac"/>
    <w:next w:val="ac"/>
    <w:link w:val="10"/>
    <w:uiPriority w:val="9"/>
    <w:qFormat/>
    <w:pPr>
      <w:keepNext/>
      <w:keepLines/>
      <w:spacing w:before="340" w:after="330" w:line="578" w:lineRule="auto"/>
      <w:outlineLvl w:val="0"/>
    </w:pPr>
    <w:rPr>
      <w:b/>
      <w:bCs/>
      <w:kern w:val="44"/>
      <w:sz w:val="44"/>
      <w:szCs w:val="44"/>
    </w:rPr>
  </w:style>
  <w:style w:type="paragraph" w:styleId="2">
    <w:name w:val="heading 2"/>
    <w:basedOn w:val="ac"/>
    <w:next w:val="ac"/>
    <w:link w:val="20"/>
    <w:uiPriority w:val="9"/>
    <w:unhideWhenUsed/>
    <w:qFormat/>
    <w:pPr>
      <w:keepNext/>
      <w:keepLines/>
      <w:outlineLvl w:val="1"/>
    </w:pPr>
    <w:rPr>
      <w:rFonts w:eastAsiaTheme="majorEastAsia" w:cstheme="majorBidi"/>
      <w:b/>
      <w:bCs/>
      <w:szCs w:val="32"/>
    </w:rPr>
  </w:style>
  <w:style w:type="paragraph" w:styleId="3">
    <w:name w:val="heading 3"/>
    <w:basedOn w:val="ac"/>
    <w:next w:val="ac"/>
    <w:link w:val="30"/>
    <w:uiPriority w:val="9"/>
    <w:unhideWhenUsed/>
    <w:qFormat/>
    <w:pPr>
      <w:keepNext/>
      <w:keepLines/>
      <w:snapToGrid w:val="0"/>
      <w:outlineLvl w:val="2"/>
    </w:pPr>
    <w:rPr>
      <w:b/>
      <w:bCs/>
      <w:szCs w:val="32"/>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31">
    <w:name w:val="toc 3"/>
    <w:basedOn w:val="ac"/>
    <w:next w:val="ac"/>
    <w:uiPriority w:val="39"/>
    <w:unhideWhenUsed/>
    <w:pPr>
      <w:ind w:leftChars="400" w:left="840"/>
    </w:pPr>
  </w:style>
  <w:style w:type="paragraph" w:styleId="af0">
    <w:name w:val="Date"/>
    <w:basedOn w:val="ac"/>
    <w:next w:val="ac"/>
    <w:link w:val="af1"/>
    <w:uiPriority w:val="99"/>
    <w:semiHidden/>
    <w:unhideWhenUsed/>
    <w:pPr>
      <w:ind w:leftChars="2500" w:left="100"/>
    </w:pPr>
  </w:style>
  <w:style w:type="paragraph" w:styleId="af2">
    <w:name w:val="Balloon Text"/>
    <w:basedOn w:val="ac"/>
    <w:link w:val="af3"/>
    <w:uiPriority w:val="99"/>
    <w:semiHidden/>
    <w:unhideWhenUsed/>
    <w:pPr>
      <w:spacing w:line="240" w:lineRule="auto"/>
    </w:pPr>
    <w:rPr>
      <w:sz w:val="18"/>
      <w:szCs w:val="18"/>
    </w:rPr>
  </w:style>
  <w:style w:type="paragraph" w:styleId="af4">
    <w:name w:val="footer"/>
    <w:basedOn w:val="ac"/>
    <w:link w:val="af5"/>
    <w:uiPriority w:val="99"/>
    <w:unhideWhenUsed/>
    <w:qFormat/>
    <w:pPr>
      <w:tabs>
        <w:tab w:val="center" w:pos="4153"/>
        <w:tab w:val="right" w:pos="8306"/>
      </w:tabs>
      <w:snapToGrid w:val="0"/>
      <w:jc w:val="left"/>
    </w:pPr>
    <w:rPr>
      <w:sz w:val="18"/>
      <w:szCs w:val="18"/>
    </w:rPr>
  </w:style>
  <w:style w:type="paragraph" w:styleId="af6">
    <w:name w:val="header"/>
    <w:basedOn w:val="ac"/>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c"/>
    <w:next w:val="ac"/>
    <w:uiPriority w:val="39"/>
    <w:unhideWhenUsed/>
    <w:qFormat/>
  </w:style>
  <w:style w:type="paragraph" w:styleId="21">
    <w:name w:val="toc 2"/>
    <w:basedOn w:val="ac"/>
    <w:next w:val="ac"/>
    <w:uiPriority w:val="39"/>
    <w:unhideWhenUsed/>
    <w:qFormat/>
    <w:pPr>
      <w:tabs>
        <w:tab w:val="left" w:pos="1260"/>
        <w:tab w:val="right" w:leader="dot" w:pos="8296"/>
      </w:tabs>
      <w:ind w:leftChars="200" w:left="560" w:firstLine="560"/>
      <w:jc w:val="left"/>
    </w:pPr>
  </w:style>
  <w:style w:type="character" w:styleId="af8">
    <w:name w:val="Strong"/>
    <w:basedOn w:val="ad"/>
    <w:uiPriority w:val="22"/>
    <w:qFormat/>
    <w:rPr>
      <w:b/>
      <w:bCs/>
    </w:rPr>
  </w:style>
  <w:style w:type="character" w:styleId="af9">
    <w:name w:val="Hyperlink"/>
    <w:basedOn w:val="ad"/>
    <w:uiPriority w:val="99"/>
    <w:unhideWhenUsed/>
    <w:rPr>
      <w:color w:val="0000FF" w:themeColor="hyperlink"/>
      <w:u w:val="single"/>
    </w:rPr>
  </w:style>
  <w:style w:type="character" w:customStyle="1" w:styleId="af7">
    <w:name w:val="页眉 字符"/>
    <w:basedOn w:val="ad"/>
    <w:link w:val="af6"/>
    <w:uiPriority w:val="99"/>
    <w:qFormat/>
    <w:rPr>
      <w:rFonts w:eastAsia="仿宋"/>
      <w:sz w:val="18"/>
      <w:szCs w:val="18"/>
    </w:rPr>
  </w:style>
  <w:style w:type="character" w:customStyle="1" w:styleId="af5">
    <w:name w:val="页脚 字符"/>
    <w:basedOn w:val="ad"/>
    <w:link w:val="af4"/>
    <w:uiPriority w:val="99"/>
    <w:qFormat/>
    <w:rPr>
      <w:rFonts w:eastAsia="仿宋"/>
      <w:sz w:val="18"/>
      <w:szCs w:val="18"/>
    </w:rPr>
  </w:style>
  <w:style w:type="character" w:customStyle="1" w:styleId="20">
    <w:name w:val="标题 2 字符"/>
    <w:basedOn w:val="ad"/>
    <w:link w:val="2"/>
    <w:uiPriority w:val="9"/>
    <w:rPr>
      <w:rFonts w:ascii="Times New Roman" w:eastAsiaTheme="majorEastAsia" w:hAnsi="Times New Roman" w:cstheme="majorBidi"/>
      <w:b/>
      <w:bCs/>
      <w:sz w:val="32"/>
      <w:szCs w:val="32"/>
    </w:rPr>
  </w:style>
  <w:style w:type="paragraph" w:styleId="afa">
    <w:name w:val="List Paragraph"/>
    <w:basedOn w:val="ac"/>
    <w:uiPriority w:val="34"/>
    <w:qFormat/>
    <w:pPr>
      <w:ind w:firstLine="420"/>
    </w:pPr>
  </w:style>
  <w:style w:type="character" w:customStyle="1" w:styleId="30">
    <w:name w:val="标题 3 字符"/>
    <w:basedOn w:val="ad"/>
    <w:link w:val="3"/>
    <w:uiPriority w:val="9"/>
    <w:rPr>
      <w:rFonts w:ascii="Times New Roman" w:eastAsia="仿宋_GB2312" w:hAnsi="Times New Roman"/>
      <w:b/>
      <w:bCs/>
      <w:sz w:val="28"/>
      <w:szCs w:val="32"/>
    </w:rPr>
  </w:style>
  <w:style w:type="paragraph" w:customStyle="1" w:styleId="afb">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b"/>
    <w:qFormat/>
    <w:rPr>
      <w:rFonts w:ascii="宋体" w:eastAsia="宋体" w:hAnsi="Times New Roman" w:cs="Times New Roman"/>
      <w:kern w:val="0"/>
      <w:szCs w:val="20"/>
    </w:rPr>
  </w:style>
  <w:style w:type="character" w:customStyle="1" w:styleId="af1">
    <w:name w:val="日期 字符"/>
    <w:basedOn w:val="ad"/>
    <w:link w:val="af0"/>
    <w:uiPriority w:val="99"/>
    <w:semiHidden/>
    <w:rPr>
      <w:rFonts w:ascii="Times New Roman" w:eastAsia="仿宋_GB2312" w:hAnsi="Times New Roman"/>
      <w:sz w:val="28"/>
    </w:rPr>
  </w:style>
  <w:style w:type="paragraph" w:customStyle="1" w:styleId="a0">
    <w:name w:val="一级条标题"/>
    <w:next w:val="afb"/>
    <w:qFormat/>
    <w:pPr>
      <w:numPr>
        <w:ilvl w:val="1"/>
        <w:numId w:val="1"/>
      </w:numPr>
      <w:spacing w:beforeLines="50" w:before="156" w:afterLines="50" w:after="156"/>
      <w:outlineLvl w:val="2"/>
    </w:pPr>
    <w:rPr>
      <w:rFonts w:ascii="黑体" w:eastAsia="黑体" w:hAnsi="Times New Roman" w:cs="Times New Roman"/>
      <w:sz w:val="21"/>
      <w:szCs w:val="21"/>
    </w:rPr>
  </w:style>
  <w:style w:type="paragraph" w:customStyle="1" w:styleId="a">
    <w:name w:val="章标题"/>
    <w:next w:val="afb"/>
    <w:qFormat/>
    <w:pPr>
      <w:numPr>
        <w:numId w:val="1"/>
      </w:numPr>
      <w:spacing w:beforeLines="100" w:before="312" w:afterLines="100" w:after="312"/>
      <w:jc w:val="both"/>
      <w:outlineLvl w:val="1"/>
    </w:pPr>
    <w:rPr>
      <w:rFonts w:ascii="黑体" w:eastAsia="黑体" w:hAnsi="Times New Roman" w:cs="Times New Roman"/>
      <w:sz w:val="21"/>
    </w:rPr>
  </w:style>
  <w:style w:type="paragraph" w:customStyle="1" w:styleId="a1">
    <w:name w:val="二级条标题"/>
    <w:basedOn w:val="a0"/>
    <w:next w:val="afb"/>
    <w:qFormat/>
    <w:pPr>
      <w:numPr>
        <w:ilvl w:val="2"/>
      </w:numPr>
      <w:spacing w:before="50" w:after="50"/>
      <w:outlineLvl w:val="3"/>
    </w:pPr>
  </w:style>
  <w:style w:type="paragraph" w:customStyle="1" w:styleId="a2">
    <w:name w:val="三级条标题"/>
    <w:basedOn w:val="a1"/>
    <w:next w:val="afb"/>
    <w:qFormat/>
    <w:pPr>
      <w:numPr>
        <w:ilvl w:val="3"/>
      </w:numPr>
      <w:outlineLvl w:val="4"/>
    </w:pPr>
  </w:style>
  <w:style w:type="paragraph" w:customStyle="1" w:styleId="a3">
    <w:name w:val="四级条标题"/>
    <w:basedOn w:val="a2"/>
    <w:next w:val="afb"/>
    <w:qFormat/>
    <w:pPr>
      <w:numPr>
        <w:ilvl w:val="4"/>
      </w:numPr>
      <w:outlineLvl w:val="5"/>
    </w:pPr>
  </w:style>
  <w:style w:type="paragraph" w:customStyle="1" w:styleId="a4">
    <w:name w:val="五级条标题"/>
    <w:basedOn w:val="a3"/>
    <w:next w:val="afb"/>
    <w:qFormat/>
    <w:pPr>
      <w:numPr>
        <w:ilvl w:val="5"/>
      </w:numPr>
      <w:outlineLvl w:val="6"/>
    </w:pPr>
  </w:style>
  <w:style w:type="character" w:customStyle="1" w:styleId="10">
    <w:name w:val="标题 1 字符"/>
    <w:basedOn w:val="ad"/>
    <w:link w:val="1"/>
    <w:uiPriority w:val="9"/>
    <w:rPr>
      <w:rFonts w:ascii="Times New Roman" w:eastAsia="仿宋_GB2312" w:hAnsi="Times New Roman"/>
      <w:b/>
      <w:bCs/>
      <w:kern w:val="44"/>
      <w:sz w:val="44"/>
      <w:szCs w:val="44"/>
    </w:rPr>
  </w:style>
  <w:style w:type="paragraph" w:customStyle="1" w:styleId="TOC1">
    <w:name w:val="TOC 标题1"/>
    <w:basedOn w:val="1"/>
    <w:next w:val="ac"/>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3">
    <w:name w:val="批注框文本 字符"/>
    <w:basedOn w:val="ad"/>
    <w:link w:val="af2"/>
    <w:uiPriority w:val="99"/>
    <w:semiHidden/>
    <w:rPr>
      <w:rFonts w:ascii="Times New Roman" w:eastAsia="仿宋_GB2312" w:hAnsi="Times New Roman"/>
      <w:sz w:val="18"/>
      <w:szCs w:val="18"/>
    </w:rPr>
  </w:style>
  <w:style w:type="paragraph" w:customStyle="1" w:styleId="ds-markdown-paragraph">
    <w:name w:val="ds-markdown-paragraph"/>
    <w:basedOn w:val="ac"/>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ds-markdown-cite">
    <w:name w:val="ds-markdown-cite"/>
    <w:basedOn w:val="ad"/>
  </w:style>
  <w:style w:type="paragraph" w:customStyle="1" w:styleId="a8">
    <w:name w:val="标准文件_二级条标题"/>
    <w:next w:val="ac"/>
    <w:pPr>
      <w:widowControl w:val="0"/>
      <w:numPr>
        <w:ilvl w:val="3"/>
        <w:numId w:val="2"/>
      </w:numPr>
      <w:spacing w:beforeLines="50" w:before="50" w:afterLines="50" w:after="50"/>
      <w:jc w:val="both"/>
      <w:outlineLvl w:val="2"/>
    </w:pPr>
    <w:rPr>
      <w:rFonts w:ascii="黑体" w:eastAsia="黑体" w:hAnsi="Times New Roman" w:cs="Times New Roman"/>
      <w:sz w:val="21"/>
    </w:rPr>
  </w:style>
  <w:style w:type="paragraph" w:customStyle="1" w:styleId="a9">
    <w:name w:val="标准文件_三级条标题"/>
    <w:basedOn w:val="a8"/>
    <w:next w:val="ac"/>
    <w:pPr>
      <w:widowControl/>
      <w:numPr>
        <w:ilvl w:val="4"/>
      </w:numPr>
      <w:outlineLvl w:val="3"/>
    </w:pPr>
  </w:style>
  <w:style w:type="paragraph" w:customStyle="1" w:styleId="aa">
    <w:name w:val="标准文件_四级条标题"/>
    <w:next w:val="ac"/>
    <w:pPr>
      <w:widowControl w:val="0"/>
      <w:numPr>
        <w:ilvl w:val="5"/>
        <w:numId w:val="2"/>
      </w:numPr>
      <w:spacing w:beforeLines="50" w:before="50" w:afterLines="50" w:after="50"/>
      <w:jc w:val="both"/>
      <w:outlineLvl w:val="4"/>
    </w:pPr>
    <w:rPr>
      <w:rFonts w:ascii="黑体" w:eastAsia="黑体" w:hAnsi="Times New Roman" w:cs="Times New Roman"/>
      <w:sz w:val="21"/>
    </w:rPr>
  </w:style>
  <w:style w:type="paragraph" w:customStyle="1" w:styleId="ab">
    <w:name w:val="标准文件_五级条标题"/>
    <w:next w:val="ac"/>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6">
    <w:name w:val="标准文件_章标题"/>
    <w:next w:val="ac"/>
    <w:pPr>
      <w:numPr>
        <w:ilvl w:val="1"/>
        <w:numId w:val="2"/>
      </w:numPr>
      <w:spacing w:beforeLines="100" w:before="100" w:afterLines="100" w:after="100"/>
      <w:ind w:left="0"/>
      <w:jc w:val="both"/>
      <w:outlineLvl w:val="0"/>
    </w:pPr>
    <w:rPr>
      <w:rFonts w:ascii="黑体" w:eastAsia="黑体" w:hAnsi="Times New Roman" w:cs="Times New Roman"/>
      <w:sz w:val="21"/>
    </w:rPr>
  </w:style>
  <w:style w:type="paragraph" w:customStyle="1" w:styleId="a7">
    <w:name w:val="标准文件_一级条标题"/>
    <w:basedOn w:val="a6"/>
    <w:next w:val="ac"/>
    <w:pPr>
      <w:numPr>
        <w:ilvl w:val="2"/>
      </w:numPr>
      <w:spacing w:beforeLines="50" w:before="50" w:afterLines="50" w:after="50"/>
      <w:ind w:left="0"/>
      <w:outlineLvl w:val="1"/>
    </w:pPr>
  </w:style>
  <w:style w:type="paragraph" w:customStyle="1" w:styleId="a5">
    <w:name w:val="前言标题"/>
    <w:next w:val="ac"/>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fc">
    <w:name w:val="标准文件_一级无标题"/>
    <w:basedOn w:val="a7"/>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C3B1B-1CE2-4AF9-8646-B94B2359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JHM</dc:creator>
  <cp:lastModifiedBy>Thinkpad</cp:lastModifiedBy>
  <cp:revision>4</cp:revision>
  <cp:lastPrinted>2026-06-02T08:02:00Z</cp:lastPrinted>
  <dcterms:created xsi:type="dcterms:W3CDTF">2026-06-23T01:48:00Z</dcterms:created>
  <dcterms:modified xsi:type="dcterms:W3CDTF">2026-06-23T03:10:00Z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